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7D8911F4"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7F1096">
        <w:rPr>
          <w:rFonts w:cs="Arial"/>
          <w:sz w:val="24"/>
          <w:lang w:eastAsia="zh-CN"/>
        </w:rPr>
        <w:t>2</w:t>
      </w:r>
      <w:r w:rsidR="00450E6A">
        <w:rPr>
          <w:rFonts w:cs="Arial"/>
          <w:sz w:val="24"/>
          <w:lang w:eastAsia="zh-CN"/>
        </w:rPr>
        <w:t>1</w:t>
      </w:r>
      <w:r w:rsidR="00834F33">
        <w:rPr>
          <w:rFonts w:cs="Arial"/>
          <w:sz w:val="24"/>
          <w:lang w:eastAsia="zh-CN"/>
        </w:rPr>
        <w:t>bis</w:t>
      </w:r>
      <w:r>
        <w:rPr>
          <w:rFonts w:cs="Arial"/>
          <w:sz w:val="24"/>
          <w:lang w:eastAsia="zh-CN"/>
        </w:rPr>
        <w:tab/>
      </w:r>
      <w:r w:rsidR="00567206" w:rsidRPr="00567206">
        <w:rPr>
          <w:rFonts w:cs="Arial"/>
          <w:sz w:val="24"/>
          <w:lang w:eastAsia="zh-CN"/>
        </w:rPr>
        <w:t>R2-2303220</w:t>
      </w:r>
    </w:p>
    <w:p w14:paraId="194FD871" w14:textId="4B0FF048" w:rsidR="00824529" w:rsidRDefault="00080097" w:rsidP="00AD4681">
      <w:pPr>
        <w:pStyle w:val="a3"/>
        <w:tabs>
          <w:tab w:val="right" w:pos="9639"/>
        </w:tabs>
        <w:jc w:val="both"/>
        <w:rPr>
          <w:rFonts w:cs="Arial"/>
          <w:sz w:val="24"/>
          <w:lang w:eastAsia="zh-CN"/>
        </w:rPr>
      </w:pPr>
      <w:r>
        <w:rPr>
          <w:rFonts w:cs="Arial"/>
          <w:sz w:val="24"/>
          <w:lang w:eastAsia="zh-CN"/>
        </w:rPr>
        <w:t>E</w:t>
      </w:r>
      <w:r w:rsidR="009110BA">
        <w:rPr>
          <w:rFonts w:cs="Arial"/>
          <w:sz w:val="24"/>
          <w:lang w:eastAsia="zh-CN"/>
        </w:rPr>
        <w:t>-meeting</w:t>
      </w:r>
      <w:r w:rsidR="009110BA" w:rsidRPr="006F2FF7">
        <w:rPr>
          <w:rFonts w:cs="Arial"/>
          <w:sz w:val="24"/>
          <w:lang w:eastAsia="zh-CN"/>
        </w:rPr>
        <w:t xml:space="preserve">, </w:t>
      </w:r>
      <w:r w:rsidR="009110BA">
        <w:rPr>
          <w:rFonts w:cs="Arial"/>
          <w:sz w:val="24"/>
          <w:lang w:eastAsia="zh-CN"/>
        </w:rPr>
        <w:t>1</w:t>
      </w:r>
      <w:r w:rsidR="009110BA" w:rsidRPr="006F2FF7">
        <w:rPr>
          <w:rFonts w:cs="Arial"/>
          <w:sz w:val="24"/>
          <w:lang w:eastAsia="zh-CN"/>
        </w:rPr>
        <w:t>7</w:t>
      </w:r>
      <w:r w:rsidR="009110BA" w:rsidRPr="00297836">
        <w:rPr>
          <w:rFonts w:cs="Arial"/>
          <w:sz w:val="24"/>
          <w:vertAlign w:val="superscript"/>
          <w:lang w:eastAsia="zh-CN"/>
        </w:rPr>
        <w:t>th</w:t>
      </w:r>
      <w:r w:rsidR="009110BA">
        <w:rPr>
          <w:rFonts w:cs="Arial"/>
          <w:sz w:val="24"/>
          <w:lang w:eastAsia="zh-CN"/>
        </w:rPr>
        <w:t xml:space="preserve"> Apr</w:t>
      </w:r>
      <w:r w:rsidR="009110BA" w:rsidRPr="006F2FF7">
        <w:rPr>
          <w:rFonts w:cs="Arial"/>
          <w:sz w:val="24"/>
          <w:lang w:eastAsia="zh-CN"/>
        </w:rPr>
        <w:t>.-</w:t>
      </w:r>
      <w:r w:rsidR="009110BA">
        <w:rPr>
          <w:rFonts w:cs="Arial"/>
          <w:sz w:val="24"/>
          <w:lang w:eastAsia="zh-CN"/>
        </w:rPr>
        <w:t>26</w:t>
      </w:r>
      <w:r w:rsidR="009110BA" w:rsidRPr="00965187">
        <w:rPr>
          <w:rFonts w:cs="Arial"/>
          <w:sz w:val="24"/>
          <w:vertAlign w:val="superscript"/>
          <w:lang w:eastAsia="zh-CN"/>
        </w:rPr>
        <w:t>th</w:t>
      </w:r>
      <w:r w:rsidR="009110BA">
        <w:rPr>
          <w:rFonts w:cs="Arial"/>
          <w:sz w:val="24"/>
          <w:lang w:eastAsia="zh-CN"/>
        </w:rPr>
        <w:t xml:space="preserve"> Apr</w:t>
      </w:r>
      <w:r w:rsidR="009110BA" w:rsidRPr="006F2FF7">
        <w:rPr>
          <w:rFonts w:cs="Arial"/>
          <w:sz w:val="24"/>
          <w:lang w:eastAsia="zh-CN"/>
        </w:rPr>
        <w:t>.,2023</w:t>
      </w:r>
      <w:r w:rsidR="009110BA">
        <w:rPr>
          <w:rFonts w:cs="Arial"/>
          <w:sz w:val="24"/>
          <w:lang w:eastAsia="zh-CN"/>
        </w:rPr>
        <w:t xml:space="preserve">    </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834F33">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1E3502C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D77C9">
        <w:rPr>
          <w:rFonts w:eastAsia="宋体" w:cs="Arial"/>
          <w:b/>
          <w:bCs/>
          <w:kern w:val="2"/>
          <w:sz w:val="24"/>
          <w:szCs w:val="22"/>
          <w:lang w:val="en-US" w:eastAsia="zh-CN"/>
        </w:rPr>
        <w:t>7</w:t>
      </w:r>
      <w:r w:rsidR="00D075F0">
        <w:rPr>
          <w:rFonts w:eastAsia="宋体" w:cs="Arial"/>
          <w:b/>
          <w:bCs/>
          <w:kern w:val="2"/>
          <w:sz w:val="24"/>
          <w:szCs w:val="22"/>
          <w:lang w:val="en-US" w:eastAsia="zh-CN"/>
        </w:rPr>
        <w:t>.</w:t>
      </w:r>
      <w:r w:rsidR="0067110C">
        <w:rPr>
          <w:rFonts w:eastAsia="宋体" w:cs="Arial"/>
          <w:b/>
          <w:bCs/>
          <w:kern w:val="2"/>
          <w:sz w:val="24"/>
          <w:szCs w:val="22"/>
          <w:lang w:val="en-US" w:eastAsia="zh-CN"/>
        </w:rPr>
        <w:t>4</w:t>
      </w:r>
      <w:r w:rsidR="009F47BD">
        <w:rPr>
          <w:rFonts w:eastAsia="宋体" w:cs="Arial" w:hint="eastAsia"/>
          <w:b/>
          <w:bCs/>
          <w:kern w:val="2"/>
          <w:sz w:val="24"/>
          <w:szCs w:val="22"/>
          <w:lang w:val="en-US" w:eastAsia="zh-CN"/>
        </w:rPr>
        <w:t>.</w:t>
      </w:r>
      <w:r w:rsidR="0067110C">
        <w:rPr>
          <w:rFonts w:eastAsia="宋体" w:cs="Arial"/>
          <w:b/>
          <w:bCs/>
          <w:kern w:val="2"/>
          <w:sz w:val="24"/>
          <w:szCs w:val="22"/>
          <w:lang w:val="en-US" w:eastAsia="zh-CN"/>
        </w:rPr>
        <w:t>2.</w:t>
      </w:r>
      <w:r w:rsidR="00A030D1">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60123E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E50FF">
        <w:rPr>
          <w:rFonts w:ascii="Arial" w:hAnsi="Arial" w:cs="Arial"/>
          <w:b/>
          <w:bCs/>
          <w:sz w:val="24"/>
        </w:rPr>
        <w:t>RRC issues</w:t>
      </w:r>
      <w:r w:rsidR="00D66E6B" w:rsidRPr="00D66E6B">
        <w:rPr>
          <w:rFonts w:ascii="Arial" w:hAnsi="Arial" w:cs="Arial"/>
          <w:b/>
          <w:bCs/>
          <w:sz w:val="24"/>
        </w:rPr>
        <w:t xml:space="preserve"> for LTM configuration</w:t>
      </w:r>
    </w:p>
    <w:p w14:paraId="528A1050" w14:textId="20D1B223"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09DE8EA8" w:rsidR="004C4485" w:rsidRDefault="006413DB" w:rsidP="00025CAF">
      <w:pPr>
        <w:pStyle w:val="Doc-text2"/>
        <w:ind w:left="0" w:firstLine="0"/>
        <w:rPr>
          <w:rFonts w:eastAsiaTheme="minorEastAsia"/>
          <w:lang w:eastAsia="zh-CN"/>
        </w:rPr>
      </w:pPr>
      <w:r>
        <w:rPr>
          <w:rFonts w:eastAsiaTheme="minorEastAsia"/>
          <w:lang w:eastAsia="zh-CN"/>
        </w:rPr>
        <w:t>T</w:t>
      </w:r>
      <w:r w:rsidR="00025CAF">
        <w:rPr>
          <w:rFonts w:eastAsiaTheme="minorEastAsia"/>
          <w:lang w:eastAsia="zh-CN"/>
        </w:rPr>
        <w:t>he following agreemen</w:t>
      </w:r>
      <w:r>
        <w:rPr>
          <w:rFonts w:eastAsiaTheme="minorEastAsia" w:hint="eastAsia"/>
          <w:lang w:eastAsia="zh-CN"/>
        </w:rPr>
        <w:t>t</w:t>
      </w:r>
      <w:r>
        <w:rPr>
          <w:rFonts w:eastAsiaTheme="minorEastAsia"/>
          <w:lang w:eastAsia="zh-CN"/>
        </w:rPr>
        <w:t xml:space="preserve">s related to </w:t>
      </w:r>
      <w:r w:rsidR="00906789">
        <w:t xml:space="preserve">Candidate </w:t>
      </w:r>
      <w:r w:rsidR="00906789" w:rsidRPr="00834F8C">
        <w:t>and Reference Configuration</w:t>
      </w:r>
      <w:r>
        <w:rPr>
          <w:rFonts w:eastAsiaTheme="minorEastAsia"/>
          <w:lang w:eastAsia="zh-CN"/>
        </w:rPr>
        <w:t xml:space="preserve"> </w:t>
      </w:r>
      <w:r w:rsidR="00A0085E">
        <w:rPr>
          <w:rFonts w:eastAsiaTheme="minorEastAsia"/>
          <w:lang w:eastAsia="zh-CN"/>
        </w:rPr>
        <w:t>are</w:t>
      </w:r>
      <w:r>
        <w:rPr>
          <w:rFonts w:eastAsiaTheme="minorEastAsia"/>
          <w:lang w:eastAsia="zh-CN"/>
        </w:rPr>
        <w:t xml:space="preserve"> obtained</w:t>
      </w:r>
      <w:r w:rsidR="00A0085E">
        <w:rPr>
          <w:rFonts w:eastAsiaTheme="minorEastAsia"/>
          <w:lang w:eastAsia="zh-CN"/>
        </w:rPr>
        <w:t xml:space="preserve"> [1]</w:t>
      </w:r>
      <w:r w:rsidR="00025CAF">
        <w:rPr>
          <w:rFonts w:eastAsiaTheme="minorEastAsia"/>
          <w:lang w:eastAsia="zh-CN"/>
        </w:rPr>
        <w:t xml:space="preserve">. </w:t>
      </w:r>
    </w:p>
    <w:p w14:paraId="39BCF2BC" w14:textId="7EE780A6" w:rsidR="00923535" w:rsidRPr="00070A8C" w:rsidRDefault="00923535" w:rsidP="00923535">
      <w:pPr>
        <w:spacing w:beforeLines="50" w:before="156" w:afterLines="50" w:after="156"/>
        <w:rPr>
          <w:rFonts w:ascii="Times New Roman" w:hAnsi="Times New Roman"/>
          <w:b/>
          <w:bCs/>
        </w:rPr>
      </w:pPr>
      <w:r w:rsidRPr="00070A8C">
        <w:rPr>
          <w:rFonts w:ascii="Times New Roman" w:hAnsi="Times New Roman"/>
          <w:b/>
          <w:bCs/>
          <w:highlight w:val="green"/>
        </w:rPr>
        <w:t>RAN2#120:</w:t>
      </w:r>
    </w:p>
    <w:p w14:paraId="20B8F263" w14:textId="77777777" w:rsidR="00923535" w:rsidRPr="00D75800" w:rsidRDefault="00923535" w:rsidP="00F45AE5">
      <w:pPr>
        <w:pStyle w:val="Doc-text2"/>
        <w:ind w:left="363"/>
        <w:rPr>
          <w:b/>
          <w:bCs/>
        </w:rPr>
      </w:pPr>
      <w:r w:rsidRPr="00D75800">
        <w:rPr>
          <w:b/>
          <w:bCs/>
        </w:rPr>
        <w:t>On Delta Configuration</w:t>
      </w:r>
    </w:p>
    <w:p w14:paraId="72377C81" w14:textId="77777777" w:rsidR="00923535" w:rsidRDefault="00923535" w:rsidP="00070A8C">
      <w:pPr>
        <w:pStyle w:val="Agreement"/>
        <w:tabs>
          <w:tab w:val="clear" w:pos="4680"/>
          <w:tab w:val="num" w:pos="359"/>
        </w:tabs>
        <w:ind w:left="360"/>
      </w:pPr>
      <w:r>
        <w:t>A UE stores the reference configuration as a separate configuration.</w:t>
      </w:r>
    </w:p>
    <w:p w14:paraId="55B05813" w14:textId="77777777" w:rsidR="00923535" w:rsidRDefault="00923535" w:rsidP="00070A8C">
      <w:pPr>
        <w:pStyle w:val="Agreement"/>
        <w:tabs>
          <w:tab w:val="clear" w:pos="4680"/>
          <w:tab w:val="num" w:pos="359"/>
        </w:tabs>
        <w:ind w:left="360"/>
      </w:pPr>
      <w:r>
        <w:t xml:space="preserve">The reference configuration is managed separately </w:t>
      </w:r>
    </w:p>
    <w:p w14:paraId="73DD3900" w14:textId="120FF312" w:rsidR="00E013F0" w:rsidRPr="00070A8C" w:rsidRDefault="00E013F0" w:rsidP="00070A8C">
      <w:pPr>
        <w:spacing w:beforeLines="50" w:before="156" w:afterLines="50" w:after="156"/>
        <w:rPr>
          <w:rFonts w:ascii="Times New Roman" w:hAnsi="Times New Roman"/>
          <w:b/>
          <w:bCs/>
          <w:highlight w:val="green"/>
        </w:rPr>
      </w:pPr>
      <w:r w:rsidRPr="00070A8C">
        <w:rPr>
          <w:rFonts w:ascii="Times New Roman" w:hAnsi="Times New Roman"/>
          <w:b/>
          <w:bCs/>
          <w:highlight w:val="green"/>
        </w:rPr>
        <w:t>RAN2#121</w:t>
      </w:r>
      <w:r w:rsidR="00923535" w:rsidRPr="00070A8C">
        <w:rPr>
          <w:rFonts w:ascii="Times New Roman" w:hAnsi="Times New Roman"/>
          <w:b/>
          <w:bCs/>
          <w:highlight w:val="green"/>
        </w:rPr>
        <w:t>:</w:t>
      </w:r>
    </w:p>
    <w:p w14:paraId="55DE23AB" w14:textId="77777777" w:rsidR="00BE14B6" w:rsidRPr="00B05B3A" w:rsidRDefault="00BE14B6" w:rsidP="00BE14B6">
      <w:pPr>
        <w:pStyle w:val="Agreement"/>
        <w:tabs>
          <w:tab w:val="clear" w:pos="4680"/>
          <w:tab w:val="num" w:pos="1276"/>
        </w:tabs>
        <w:ind w:left="426"/>
        <w:rPr>
          <w:bCs/>
          <w:lang w:val="en-US"/>
        </w:rPr>
      </w:pPr>
      <w:r w:rsidRPr="00B05B3A">
        <w:rPr>
          <w:lang w:val="en-US"/>
        </w:rPr>
        <w:t xml:space="preserve">Agreed: </w:t>
      </w:r>
      <w:r w:rsidRPr="00B05B3A">
        <w:rPr>
          <w:bCs/>
          <w:lang w:val="en-US"/>
        </w:rPr>
        <w:t xml:space="preserve">Usage of reference configuration: </w:t>
      </w:r>
    </w:p>
    <w:p w14:paraId="460B44BE" w14:textId="77777777" w:rsidR="00BE14B6" w:rsidRPr="006831D1" w:rsidRDefault="00BE14B6" w:rsidP="00BE14B6">
      <w:pPr>
        <w:pStyle w:val="Doc-text2"/>
        <w:tabs>
          <w:tab w:val="clear" w:pos="1622"/>
          <w:tab w:val="num" w:pos="1276"/>
        </w:tabs>
        <w:ind w:left="426"/>
        <w:rPr>
          <w:b/>
          <w:bCs/>
          <w:lang w:val="en-US"/>
        </w:rPr>
      </w:pPr>
      <w:r w:rsidRPr="006831D1">
        <w:rPr>
          <w:b/>
          <w:bCs/>
          <w:lang w:val="en-US"/>
        </w:rPr>
        <w:t xml:space="preserve">- </w:t>
      </w:r>
      <w:r w:rsidRPr="006831D1">
        <w:rPr>
          <w:b/>
          <w:bCs/>
          <w:lang w:val="en-US"/>
        </w:rPr>
        <w:tab/>
        <w:t>Candidate delta configuration is applied on top of the reference configuration to form a complete candidate configurati</w:t>
      </w:r>
      <w:r w:rsidRPr="001D10F4">
        <w:rPr>
          <w:b/>
          <w:bCs/>
          <w:lang w:val="en-US"/>
        </w:rPr>
        <w:t>on (FFS if done at cell switch or before the cell switch)</w:t>
      </w:r>
    </w:p>
    <w:p w14:paraId="3958FCE6" w14:textId="77777777" w:rsidR="00BE14B6" w:rsidRPr="006831D1" w:rsidRDefault="00BE14B6" w:rsidP="00BE14B6">
      <w:pPr>
        <w:pStyle w:val="Doc-text2"/>
        <w:tabs>
          <w:tab w:val="clear" w:pos="1622"/>
          <w:tab w:val="num" w:pos="1276"/>
        </w:tabs>
        <w:ind w:left="426"/>
        <w:rPr>
          <w:b/>
          <w:bCs/>
          <w:lang w:val="en-US"/>
        </w:rPr>
      </w:pPr>
      <w:r w:rsidRPr="006831D1">
        <w:rPr>
          <w:b/>
          <w:bCs/>
          <w:lang w:val="en-US"/>
        </w:rPr>
        <w:t xml:space="preserve">- </w:t>
      </w:r>
      <w:r w:rsidRPr="006831D1">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25EACF29" w14:textId="77777777" w:rsidR="00BE14B6" w:rsidRPr="006831D1" w:rsidRDefault="00BE14B6" w:rsidP="00BE14B6">
      <w:pPr>
        <w:pStyle w:val="Doc-text2"/>
        <w:tabs>
          <w:tab w:val="clear" w:pos="1622"/>
          <w:tab w:val="num" w:pos="1276"/>
        </w:tabs>
        <w:ind w:left="426"/>
        <w:rPr>
          <w:b/>
          <w:bCs/>
          <w:lang w:val="en-US"/>
        </w:rPr>
      </w:pPr>
      <w:r>
        <w:rPr>
          <w:b/>
          <w:bCs/>
          <w:lang w:val="en-US"/>
        </w:rPr>
        <w:t>-</w:t>
      </w:r>
      <w:r>
        <w:rPr>
          <w:b/>
          <w:bCs/>
          <w:lang w:val="en-US"/>
        </w:rPr>
        <w:tab/>
      </w:r>
      <w:r w:rsidRPr="006831D1">
        <w:rPr>
          <w:b/>
          <w:bCs/>
          <w:lang w:val="en-US"/>
        </w:rPr>
        <w:t xml:space="preserve">To support reconfigurations that requires reset of RLC PDCP, this should be possible (in principle same a full config) </w:t>
      </w:r>
    </w:p>
    <w:p w14:paraId="3C1A15F0" w14:textId="77777777" w:rsidR="00BE14B6" w:rsidRDefault="00BE14B6" w:rsidP="00BE14B6">
      <w:pPr>
        <w:pStyle w:val="Doc-text2"/>
        <w:tabs>
          <w:tab w:val="clear" w:pos="1622"/>
          <w:tab w:val="num" w:pos="1276"/>
        </w:tabs>
        <w:ind w:left="426"/>
        <w:rPr>
          <w:b/>
          <w:bCs/>
          <w:lang w:val="en-US"/>
        </w:rPr>
      </w:pPr>
      <w:r>
        <w:rPr>
          <w:b/>
          <w:bCs/>
          <w:lang w:val="en-US"/>
        </w:rPr>
        <w:t>-</w:t>
      </w:r>
      <w:r>
        <w:rPr>
          <w:b/>
          <w:bCs/>
          <w:lang w:val="en-US"/>
        </w:rPr>
        <w:tab/>
      </w:r>
      <w:r w:rsidRPr="006831D1">
        <w:rPr>
          <w:b/>
          <w:bCs/>
          <w:lang w:val="en-US"/>
        </w:rPr>
        <w:t>FFS if more than RLC PDCP should be kept and how much of “replacing” need to be specified.</w:t>
      </w:r>
    </w:p>
    <w:p w14:paraId="4FC85AF3" w14:textId="77777777" w:rsidR="00BE14B6" w:rsidRPr="006831D1" w:rsidRDefault="00BE14B6" w:rsidP="00BE14B6">
      <w:pPr>
        <w:pStyle w:val="Doc-text2"/>
        <w:tabs>
          <w:tab w:val="clear" w:pos="1622"/>
          <w:tab w:val="num" w:pos="1276"/>
        </w:tabs>
        <w:ind w:left="426"/>
        <w:rPr>
          <w:b/>
          <w:bCs/>
          <w:lang w:val="en-US"/>
        </w:rPr>
      </w:pPr>
      <w:r>
        <w:rPr>
          <w:b/>
          <w:bCs/>
          <w:lang w:val="en-US"/>
        </w:rPr>
        <w:t>-</w:t>
      </w:r>
      <w:r>
        <w:rPr>
          <w:b/>
          <w:bCs/>
          <w:lang w:val="en-US"/>
        </w:rPr>
        <w:tab/>
      </w:r>
      <w:r w:rsidRPr="007C4ABE">
        <w:rPr>
          <w:b/>
          <w:bCs/>
          <w:highlight w:val="yellow"/>
          <w:lang w:val="en-US"/>
        </w:rPr>
        <w:t>FFS if the reference configuration can be derived from the current UE configuration at some point of time.</w:t>
      </w:r>
      <w:r>
        <w:rPr>
          <w:b/>
          <w:bCs/>
          <w:lang w:val="en-US"/>
        </w:rPr>
        <w:t xml:space="preserve"> </w:t>
      </w:r>
    </w:p>
    <w:p w14:paraId="5455F00C" w14:textId="77777777" w:rsidR="00BE14B6" w:rsidRDefault="00BE14B6" w:rsidP="00BE14B6">
      <w:pPr>
        <w:pStyle w:val="Doc-text2"/>
        <w:tabs>
          <w:tab w:val="clear" w:pos="1622"/>
          <w:tab w:val="num" w:pos="1276"/>
        </w:tabs>
        <w:ind w:left="426"/>
        <w:rPr>
          <w:lang w:val="en-US"/>
        </w:rPr>
      </w:pPr>
    </w:p>
    <w:p w14:paraId="7FE6D90B" w14:textId="77777777" w:rsidR="00BE14B6" w:rsidRDefault="00BE14B6" w:rsidP="00BE14B6">
      <w:pPr>
        <w:pStyle w:val="Agreement"/>
        <w:tabs>
          <w:tab w:val="clear" w:pos="4680"/>
          <w:tab w:val="num" w:pos="1276"/>
        </w:tabs>
        <w:ind w:left="426"/>
        <w:rPr>
          <w:lang w:val="en-US"/>
        </w:rPr>
      </w:pPr>
      <w:r>
        <w:rPr>
          <w:lang w:val="en-US"/>
        </w:rPr>
        <w:t xml:space="preserve">Potentially: R2 assumes that LTM without a separate reference configuration (if agreed) could work something like this: </w:t>
      </w:r>
    </w:p>
    <w:p w14:paraId="56216F49" w14:textId="77777777" w:rsidR="00BE14B6" w:rsidRDefault="00BE14B6" w:rsidP="00BE14B6">
      <w:pPr>
        <w:pStyle w:val="Doc-text2"/>
        <w:tabs>
          <w:tab w:val="clear" w:pos="1622"/>
          <w:tab w:val="num" w:pos="1276"/>
        </w:tabs>
        <w:ind w:left="426"/>
        <w:rPr>
          <w:b/>
          <w:bCs/>
          <w:lang w:val="en-US"/>
        </w:rPr>
      </w:pPr>
      <w:r>
        <w:rPr>
          <w:lang w:val="en-US"/>
        </w:rPr>
        <w:t>-</w:t>
      </w:r>
      <w:r>
        <w:rPr>
          <w:lang w:val="en-US"/>
        </w:rPr>
        <w:tab/>
      </w:r>
      <w:r w:rsidRPr="00B05B3A">
        <w:rPr>
          <w:b/>
          <w:bCs/>
          <w:lang w:val="en-US"/>
        </w:rPr>
        <w:t>Alt A: The</w:t>
      </w:r>
      <w:r w:rsidRPr="006831D1">
        <w:rPr>
          <w:b/>
          <w:bCs/>
          <w:lang w:val="en-US"/>
        </w:rPr>
        <w:t xml:space="preserve"> candidate configuration </w:t>
      </w:r>
      <w:r>
        <w:rPr>
          <w:b/>
          <w:bCs/>
          <w:lang w:val="en-US"/>
        </w:rPr>
        <w:t xml:space="preserve">(which need to be complete) </w:t>
      </w:r>
      <w:r w:rsidRPr="006831D1">
        <w:rPr>
          <w:b/>
          <w:bCs/>
          <w:lang w:val="en-US"/>
        </w:rPr>
        <w:t xml:space="preserve">is applied and replacing the current UE configuration (at the time of reconfiguration execution/cell switch), by a RRC reconfiguration procedure that makes replacements of configuration but doesn’t necessarily reset RLC or PDCP. </w:t>
      </w:r>
      <w:r>
        <w:rPr>
          <w:b/>
          <w:bCs/>
          <w:lang w:val="en-US"/>
        </w:rPr>
        <w:t>(Same procedure as above)</w:t>
      </w:r>
    </w:p>
    <w:p w14:paraId="200FA42C" w14:textId="5BB719C3" w:rsidR="00BE14B6" w:rsidRDefault="00BE14B6" w:rsidP="00BE14B6">
      <w:pPr>
        <w:pStyle w:val="Doc-text2"/>
        <w:tabs>
          <w:tab w:val="clear" w:pos="1622"/>
          <w:tab w:val="num" w:pos="1276"/>
        </w:tabs>
        <w:ind w:left="426"/>
        <w:rPr>
          <w:lang w:val="en-US"/>
        </w:rPr>
      </w:pPr>
      <w:r>
        <w:rPr>
          <w:b/>
          <w:bCs/>
          <w:lang w:val="en-US"/>
        </w:rPr>
        <w:t>-</w:t>
      </w:r>
      <w:r>
        <w:rPr>
          <w:b/>
          <w:bCs/>
          <w:lang w:val="en-US"/>
        </w:rPr>
        <w:tab/>
        <w:t xml:space="preserve">Alt B: </w:t>
      </w:r>
      <w:r w:rsidRPr="00B05B3A">
        <w:rPr>
          <w:b/>
          <w:bCs/>
          <w:lang w:val="en-US"/>
        </w:rPr>
        <w:t>The</w:t>
      </w:r>
      <w:r w:rsidRPr="006831D1">
        <w:rPr>
          <w:b/>
          <w:bCs/>
          <w:lang w:val="en-US"/>
        </w:rPr>
        <w:t xml:space="preserve"> candidate configuration </w:t>
      </w:r>
      <w:r>
        <w:rPr>
          <w:b/>
          <w:bCs/>
          <w:lang w:val="en-US"/>
        </w:rPr>
        <w:t xml:space="preserve">(which can be a delta config) </w:t>
      </w:r>
      <w:r w:rsidRPr="006831D1">
        <w:rPr>
          <w:b/>
          <w:bCs/>
          <w:lang w:val="en-US"/>
        </w:rPr>
        <w:t xml:space="preserve">is applied </w:t>
      </w:r>
      <w:r>
        <w:rPr>
          <w:b/>
          <w:bCs/>
          <w:lang w:val="en-US"/>
        </w:rPr>
        <w:t xml:space="preserve">to </w:t>
      </w:r>
      <w:r w:rsidRPr="006831D1">
        <w:rPr>
          <w:b/>
          <w:bCs/>
          <w:lang w:val="en-US"/>
        </w:rPr>
        <w:t xml:space="preserve">the current UE configuration (at the time of reconfiguration execution/cell switch), by </w:t>
      </w:r>
      <w:r>
        <w:rPr>
          <w:b/>
          <w:bCs/>
          <w:lang w:val="en-US"/>
        </w:rPr>
        <w:t>legacy</w:t>
      </w:r>
      <w:r w:rsidRPr="006831D1">
        <w:rPr>
          <w:b/>
          <w:bCs/>
          <w:lang w:val="en-US"/>
        </w:rPr>
        <w:t xml:space="preserve"> RRC reconfiguration procedure</w:t>
      </w:r>
      <w:r>
        <w:rPr>
          <w:b/>
          <w:bCs/>
          <w:lang w:val="en-US"/>
        </w:rPr>
        <w:t xml:space="preserve"> (it is assumed that the network need to coordinate if subsequent reconfigurations shall work, FFS feasibility).</w:t>
      </w:r>
    </w:p>
    <w:p w14:paraId="6419F277" w14:textId="77777777" w:rsidR="00BE14B6" w:rsidRDefault="00BE14B6" w:rsidP="007F1096">
      <w:pPr>
        <w:pStyle w:val="Doc-text2"/>
        <w:rPr>
          <w:lang w:val="en-US"/>
        </w:rPr>
      </w:pPr>
    </w:p>
    <w:p w14:paraId="5B0A30CD" w14:textId="77777777" w:rsidR="00D81AFA" w:rsidRPr="001D4D51" w:rsidRDefault="00D81AFA" w:rsidP="00D81AFA">
      <w:pPr>
        <w:pStyle w:val="Agreement"/>
        <w:tabs>
          <w:tab w:val="clear" w:pos="4680"/>
        </w:tabs>
        <w:ind w:left="426"/>
      </w:pPr>
      <w:r>
        <w:t>Reference config can be empty</w:t>
      </w:r>
    </w:p>
    <w:p w14:paraId="30FF0323" w14:textId="77777777" w:rsidR="00D81AFA" w:rsidRPr="00C52452" w:rsidRDefault="00D81AFA" w:rsidP="00D81AFA">
      <w:pPr>
        <w:pStyle w:val="Agreement"/>
        <w:tabs>
          <w:tab w:val="clear" w:pos="4680"/>
        </w:tabs>
        <w:ind w:left="426"/>
        <w:rPr>
          <w:lang w:val="en-US"/>
        </w:rPr>
      </w:pPr>
      <w:r>
        <w:rPr>
          <w:lang w:val="en-US"/>
        </w:rPr>
        <w:t xml:space="preserve">In the RRC procedures, the candidate delta configuration is applied on top of the reference configuration to form a complete candidate configuration when the UE receives the LTM </w:t>
      </w:r>
      <w:r>
        <w:rPr>
          <w:lang w:val="en-US"/>
        </w:rPr>
        <w:lastRenderedPageBreak/>
        <w:t>configuration (before the LTM cell switch</w:t>
      </w:r>
      <w:r w:rsidRPr="00752470">
        <w:rPr>
          <w:lang w:val="en-US"/>
        </w:rPr>
        <w:t xml:space="preserve">). UE implementation can postpone that step to the reception of the LTM cell switch command. </w:t>
      </w:r>
      <w:r w:rsidRPr="001D10F4">
        <w:rPr>
          <w:highlight w:val="yellow"/>
          <w:lang w:val="en-US"/>
        </w:rPr>
        <w:t>FFS Discuss early vs late compliance check.</w:t>
      </w:r>
      <w:r>
        <w:rPr>
          <w:lang w:val="en-US"/>
        </w:rPr>
        <w:t xml:space="preserve"> </w:t>
      </w:r>
    </w:p>
    <w:p w14:paraId="7256685E" w14:textId="42282750" w:rsidR="00D81AFA" w:rsidRDefault="00D81AFA" w:rsidP="00D81AFA">
      <w:pPr>
        <w:pStyle w:val="Agreement"/>
        <w:tabs>
          <w:tab w:val="clear" w:pos="4680"/>
        </w:tabs>
        <w:ind w:left="426"/>
        <w:rPr>
          <w:lang w:val="en-US"/>
        </w:rPr>
      </w:pPr>
      <w:r w:rsidRPr="00C524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D81AFA">
        <w:rPr>
          <w:lang w:val="en-US"/>
        </w:rPr>
        <w:t xml:space="preserve">FFS whether we can rely on a modified version of the reconfiguration procedure with </w:t>
      </w:r>
      <w:proofErr w:type="spellStart"/>
      <w:r w:rsidRPr="00D81AFA">
        <w:rPr>
          <w:lang w:val="en-US"/>
        </w:rPr>
        <w:t>fullconfig</w:t>
      </w:r>
      <w:proofErr w:type="spellEnd"/>
      <w:r w:rsidRPr="00D81AFA">
        <w:rPr>
          <w:lang w:val="en-US"/>
        </w:rPr>
        <w:t xml:space="preserve"> flag set. FFS how to make sure the procedures work in case the LTM candidate configuration is a complete configuration.</w:t>
      </w:r>
    </w:p>
    <w:p w14:paraId="01AC9F7F" w14:textId="0FE0BC10"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discuss </w:t>
      </w:r>
      <w:r w:rsidR="00AD6C8E">
        <w:rPr>
          <w:rFonts w:ascii="Times New Roman" w:eastAsia="MS Mincho" w:hAnsi="Times New Roman"/>
          <w:lang w:eastAsia="ja-JP"/>
        </w:rPr>
        <w:t xml:space="preserve">above highlighted issues </w:t>
      </w:r>
      <w:r w:rsidR="00025CAF">
        <w:rPr>
          <w:rFonts w:ascii="Times New Roman" w:eastAsia="MS Mincho" w:hAnsi="Times New Roman"/>
          <w:lang w:eastAsia="ja-JP"/>
        </w:rPr>
        <w:t xml:space="preserve">for </w:t>
      </w:r>
      <w:r w:rsidR="003D07A9">
        <w:rPr>
          <w:rFonts w:ascii="Times New Roman" w:eastAsia="MS Mincho" w:hAnsi="Times New Roman"/>
          <w:lang w:eastAsia="ja-JP"/>
        </w:rPr>
        <w:t>LTM</w:t>
      </w:r>
      <w:r w:rsidR="00AD6C8E">
        <w:rPr>
          <w:rFonts w:ascii="Times New Roman" w:eastAsia="MS Mincho" w:hAnsi="Times New Roman"/>
          <w:lang w:eastAsia="ja-JP"/>
        </w:rPr>
        <w:t xml:space="preserve"> configuration</w:t>
      </w:r>
      <w:r w:rsidRPr="008A62C9">
        <w:rPr>
          <w:rFonts w:ascii="Times New Roman" w:eastAsia="MS Mincho" w:hAnsi="Times New Roman"/>
          <w:lang w:eastAsia="ja-JP"/>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B2B6D7B" w14:textId="18BC5CB5" w:rsidR="00A040DA" w:rsidRDefault="00327C12" w:rsidP="00DB0867">
      <w:pPr>
        <w:tabs>
          <w:tab w:val="left" w:pos="8505"/>
        </w:tabs>
        <w:spacing w:beforeLines="50" w:before="156" w:afterLines="50" w:after="156"/>
        <w:jc w:val="center"/>
        <w:rPr>
          <w:rFonts w:ascii="Times New Roman" w:hAnsi="Times New Roman"/>
        </w:rPr>
      </w:pPr>
      <w:r>
        <w:object w:dxaOrig="7439" w:dyaOrig="8237" w14:anchorId="533ED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25.6pt;height:359.45pt" o:ole="">
            <v:imagedata r:id="rId8" o:title=""/>
          </v:shape>
          <o:OLEObject Type="Embed" ProgID="Visio.Drawing.15" ShapeID="_x0000_i1041" DrawAspect="Content" ObjectID="_1742322589" r:id="rId9"/>
        </w:object>
      </w:r>
    </w:p>
    <w:p w14:paraId="320F32CA" w14:textId="1DD7C141" w:rsidR="00CD49D0" w:rsidRDefault="00A4623C" w:rsidP="00A4623C">
      <w:pPr>
        <w:spacing w:beforeLines="50" w:before="156" w:afterLines="50" w:after="156"/>
        <w:jc w:val="center"/>
        <w:rPr>
          <w:rFonts w:ascii="Times New Roman" w:hAnsi="Times New Roman"/>
        </w:rPr>
      </w:pPr>
      <w:r>
        <w:rPr>
          <w:rFonts w:ascii="Times New Roman" w:hAnsi="Times New Roman"/>
        </w:rPr>
        <w:t>Figure</w:t>
      </w:r>
      <w:r w:rsidR="009A5B26">
        <w:rPr>
          <w:rFonts w:ascii="Times New Roman" w:hAnsi="Times New Roman"/>
        </w:rPr>
        <w:t xml:space="preserve"> 1</w:t>
      </w:r>
      <w:r>
        <w:rPr>
          <w:rFonts w:ascii="Times New Roman" w:hAnsi="Times New Roman"/>
        </w:rPr>
        <w:t xml:space="preserve">: </w:t>
      </w:r>
      <w:r>
        <w:rPr>
          <w:rFonts w:ascii="Times New Roman" w:hAnsi="Times New Roman" w:hint="eastAsia"/>
        </w:rPr>
        <w:t>LTM</w:t>
      </w:r>
      <w:r>
        <w:rPr>
          <w:rFonts w:ascii="Times New Roman" w:hAnsi="Times New Roman"/>
        </w:rPr>
        <w:t xml:space="preserve"> </w:t>
      </w:r>
      <w:r>
        <w:rPr>
          <w:rFonts w:ascii="Times New Roman" w:hAnsi="Times New Roman" w:hint="eastAsia"/>
        </w:rPr>
        <w:t>pro</w:t>
      </w:r>
      <w:r>
        <w:rPr>
          <w:rFonts w:ascii="Times New Roman" w:hAnsi="Times New Roman"/>
        </w:rPr>
        <w:t>cedure</w:t>
      </w:r>
    </w:p>
    <w:p w14:paraId="78379353" w14:textId="17679F62" w:rsidR="00A77B6C" w:rsidRDefault="00AF592D" w:rsidP="006A69CA">
      <w:pPr>
        <w:spacing w:beforeLines="50" w:before="156" w:afterLines="50" w:after="156"/>
        <w:jc w:val="left"/>
        <w:rPr>
          <w:rFonts w:ascii="Times New Roman" w:hAnsi="Times New Roman"/>
        </w:rPr>
      </w:pPr>
      <w:r>
        <w:rPr>
          <w:rFonts w:ascii="Times New Roman" w:hAnsi="Times New Roman"/>
        </w:rPr>
        <w:t xml:space="preserve">According to Figure, </w:t>
      </w:r>
      <w:r w:rsidRPr="00AF592D">
        <w:rPr>
          <w:rFonts w:ascii="Times New Roman" w:hAnsi="Times New Roman"/>
        </w:rPr>
        <w:t xml:space="preserve">LTM is a procedure in which a </w:t>
      </w:r>
      <w:proofErr w:type="spellStart"/>
      <w:r w:rsidRPr="00AF592D">
        <w:rPr>
          <w:rFonts w:ascii="Times New Roman" w:hAnsi="Times New Roman"/>
        </w:rPr>
        <w:t>gN</w:t>
      </w:r>
      <w:r w:rsidRPr="00AF592D">
        <w:rPr>
          <w:rFonts w:ascii="Times New Roman" w:hAnsi="Times New Roman" w:hint="eastAsia"/>
        </w:rPr>
        <w:t>B</w:t>
      </w:r>
      <w:proofErr w:type="spellEnd"/>
      <w:r w:rsidRPr="00AF592D">
        <w:rPr>
          <w:rFonts w:ascii="Times New Roman" w:hAnsi="Times New Roman"/>
        </w:rPr>
        <w:t xml:space="preserve"> provides the candidate cell configurations to the UE through RRC message</w:t>
      </w:r>
      <w:r>
        <w:rPr>
          <w:rFonts w:ascii="Times New Roman" w:hAnsi="Times New Roman"/>
        </w:rPr>
        <w:t xml:space="preserve"> based on the</w:t>
      </w:r>
      <w:r w:rsidRPr="00AF592D">
        <w:rPr>
          <w:rFonts w:ascii="Times New Roman" w:hAnsi="Times New Roman"/>
        </w:rPr>
        <w:t xml:space="preserve"> receive</w:t>
      </w:r>
      <w:r>
        <w:rPr>
          <w:rFonts w:ascii="Times New Roman" w:hAnsi="Times New Roman"/>
        </w:rPr>
        <w:t>d</w:t>
      </w:r>
      <w:r w:rsidRPr="00AF592D">
        <w:rPr>
          <w:rFonts w:ascii="Times New Roman" w:hAnsi="Times New Roman"/>
        </w:rPr>
        <w:t xml:space="preserve"> measurement reports from UEs</w:t>
      </w:r>
      <w:r>
        <w:rPr>
          <w:rFonts w:ascii="Times New Roman" w:hAnsi="Times New Roman"/>
        </w:rPr>
        <w:t xml:space="preserve">. The </w:t>
      </w:r>
      <w:proofErr w:type="spellStart"/>
      <w:r>
        <w:rPr>
          <w:rFonts w:ascii="Times New Roman" w:hAnsi="Times New Roman"/>
        </w:rPr>
        <w:t>gNB</w:t>
      </w:r>
      <w:proofErr w:type="spellEnd"/>
      <w:r>
        <w:rPr>
          <w:rFonts w:ascii="Times New Roman" w:hAnsi="Times New Roman"/>
        </w:rPr>
        <w:t xml:space="preserve"> can configure UE to perform early TA procedure. </w:t>
      </w:r>
      <w:r w:rsidR="00744D26">
        <w:rPr>
          <w:rFonts w:ascii="Times New Roman" w:hAnsi="Times New Roman"/>
        </w:rPr>
        <w:t xml:space="preserve">Furthermore, </w:t>
      </w:r>
      <w:r w:rsidR="00744D26" w:rsidRPr="00AF592D">
        <w:rPr>
          <w:rFonts w:ascii="Times New Roman" w:hAnsi="Times New Roman"/>
        </w:rPr>
        <w:t xml:space="preserve">the </w:t>
      </w:r>
      <w:proofErr w:type="spellStart"/>
      <w:r w:rsidR="00744D26" w:rsidRPr="00AF592D">
        <w:rPr>
          <w:rFonts w:ascii="Times New Roman" w:hAnsi="Times New Roman"/>
        </w:rPr>
        <w:t>gNB</w:t>
      </w:r>
      <w:proofErr w:type="spellEnd"/>
      <w:r w:rsidR="00744D26" w:rsidRPr="00AF592D">
        <w:rPr>
          <w:rFonts w:ascii="Times New Roman" w:hAnsi="Times New Roman"/>
        </w:rPr>
        <w:t xml:space="preserve"> </w:t>
      </w:r>
      <w:r w:rsidR="00D6059A">
        <w:rPr>
          <w:rFonts w:ascii="Times New Roman" w:hAnsi="Times New Roman"/>
        </w:rPr>
        <w:t xml:space="preserve">can </w:t>
      </w:r>
      <w:r w:rsidR="00744D26" w:rsidRPr="00AF592D">
        <w:rPr>
          <w:rFonts w:ascii="Times New Roman" w:hAnsi="Times New Roman"/>
        </w:rPr>
        <w:t>change UEs’ serving cell(s) through MAC CE.</w:t>
      </w:r>
      <w:r w:rsidR="00744D26">
        <w:rPr>
          <w:rFonts w:ascii="Times New Roman" w:hAnsi="Times New Roman"/>
        </w:rPr>
        <w:t xml:space="preserve"> </w:t>
      </w:r>
      <w:r w:rsidR="005E240D" w:rsidRPr="006A69CA">
        <w:rPr>
          <w:rFonts w:ascii="Times New Roman" w:hAnsi="Times New Roman"/>
        </w:rPr>
        <w:t xml:space="preserve">Regarding legacy CHO and CPAC, it is up to UE implementation </w:t>
      </w:r>
      <w:r w:rsidR="005E240D">
        <w:rPr>
          <w:rFonts w:ascii="Times New Roman" w:hAnsi="Times New Roman"/>
        </w:rPr>
        <w:t>to perform</w:t>
      </w:r>
      <w:r w:rsidR="005E240D" w:rsidRPr="006A69CA">
        <w:rPr>
          <w:rFonts w:ascii="Times New Roman" w:hAnsi="Times New Roman"/>
        </w:rPr>
        <w:t xml:space="preserve"> compliance check upon the reception of the message or upon CHO, CPA and CPC execution.</w:t>
      </w:r>
      <w:r w:rsidR="005E240D">
        <w:rPr>
          <w:rFonts w:ascii="Times New Roman" w:hAnsi="Times New Roman"/>
        </w:rPr>
        <w:t xml:space="preserve"> Comparing to the CHO/CPAC, UE can </w:t>
      </w:r>
      <w:r w:rsidR="00244FA6">
        <w:rPr>
          <w:rFonts w:ascii="Times New Roman" w:hAnsi="Times New Roman"/>
        </w:rPr>
        <w:t xml:space="preserve">additionally </w:t>
      </w:r>
      <w:r w:rsidR="005E240D">
        <w:rPr>
          <w:rFonts w:ascii="Times New Roman" w:hAnsi="Times New Roman"/>
        </w:rPr>
        <w:t xml:space="preserve">perform compliance check upon early TA acquisition execution. </w:t>
      </w:r>
      <w:r w:rsidR="006A69CA">
        <w:rPr>
          <w:rFonts w:ascii="Times New Roman" w:hAnsi="Times New Roman"/>
        </w:rPr>
        <w:t xml:space="preserve">Therefore, UE can perform compliance check </w:t>
      </w:r>
      <w:r w:rsidR="00744D26">
        <w:rPr>
          <w:rFonts w:ascii="Times New Roman" w:hAnsi="Times New Roman"/>
        </w:rPr>
        <w:t xml:space="preserve">for LTM configuration </w:t>
      </w:r>
      <w:r w:rsidR="006A69CA">
        <w:rPr>
          <w:rFonts w:ascii="Times New Roman" w:hAnsi="Times New Roman"/>
        </w:rPr>
        <w:t xml:space="preserve">upon reception of candidate cell configuration, performing early TA acquisition or executing cell </w:t>
      </w:r>
      <w:r w:rsidR="006A69CA">
        <w:rPr>
          <w:rFonts w:ascii="Times New Roman" w:hAnsi="Times New Roman"/>
        </w:rPr>
        <w:lastRenderedPageBreak/>
        <w:t xml:space="preserve">switching. </w:t>
      </w:r>
    </w:p>
    <w:p w14:paraId="4A9ECC31" w14:textId="316E1C85" w:rsidR="00897A5B" w:rsidRPr="00070A8C" w:rsidRDefault="00897A5B" w:rsidP="00070A8C">
      <w:pPr>
        <w:pStyle w:val="2"/>
        <w:rPr>
          <w:sz w:val="28"/>
          <w:szCs w:val="28"/>
        </w:rPr>
      </w:pPr>
      <w:r w:rsidRPr="00070A8C">
        <w:rPr>
          <w:sz w:val="28"/>
          <w:szCs w:val="28"/>
        </w:rPr>
        <w:t>2.1</w:t>
      </w:r>
      <w:r w:rsidR="0071716B" w:rsidRPr="00070A8C">
        <w:rPr>
          <w:sz w:val="28"/>
          <w:szCs w:val="28"/>
        </w:rPr>
        <w:tab/>
      </w:r>
      <w:r w:rsidRPr="00070A8C">
        <w:rPr>
          <w:sz w:val="28"/>
          <w:szCs w:val="28"/>
        </w:rPr>
        <w:t>Reference configuration for LTM configuration</w:t>
      </w:r>
    </w:p>
    <w:p w14:paraId="0D5E0FBA" w14:textId="4EC5487E" w:rsidR="00BC2421" w:rsidRDefault="007E3100" w:rsidP="00A77B6C">
      <w:pPr>
        <w:spacing w:beforeLines="50" w:before="156" w:afterLines="50" w:after="156"/>
        <w:rPr>
          <w:rFonts w:ascii="Times New Roman" w:hAnsi="Times New Roman"/>
        </w:rPr>
      </w:pPr>
      <w:r>
        <w:rPr>
          <w:rFonts w:ascii="Times New Roman" w:hAnsi="Times New Roman"/>
        </w:rPr>
        <w:t xml:space="preserve">In the past RAN2 meetings, </w:t>
      </w:r>
      <w:r w:rsidR="00A24C0B">
        <w:rPr>
          <w:rFonts w:ascii="Times New Roman" w:hAnsi="Times New Roman"/>
        </w:rPr>
        <w:t>RAN2 agreed to support delta configuration of LTM candidate cells</w:t>
      </w:r>
      <w:r w:rsidR="00BC2421">
        <w:rPr>
          <w:rFonts w:ascii="Times New Roman" w:hAnsi="Times New Roman"/>
        </w:rPr>
        <w:t xml:space="preserve"> based on a reference configuration. However, it is still under discussion, whether the reference configuration is:</w:t>
      </w:r>
    </w:p>
    <w:p w14:paraId="03FCA76B" w14:textId="27FA064A" w:rsidR="00BC2421" w:rsidRDefault="00296E6E" w:rsidP="00BC2421">
      <w:pPr>
        <w:pStyle w:val="a6"/>
        <w:numPr>
          <w:ilvl w:val="0"/>
          <w:numId w:val="19"/>
        </w:numPr>
        <w:spacing w:beforeLines="50" w:before="156" w:afterLines="50" w:after="156"/>
        <w:ind w:firstLineChars="0"/>
      </w:pPr>
      <w:r>
        <w:t xml:space="preserve">Option 1: </w:t>
      </w:r>
      <w:r w:rsidR="00BC2421">
        <w:t xml:space="preserve">The </w:t>
      </w:r>
      <w:r w:rsidR="008D4ED1">
        <w:t xml:space="preserve">initial </w:t>
      </w:r>
      <w:r w:rsidR="00BC2421">
        <w:t>source cell configuration when LTM is configured to UE at the first place</w:t>
      </w:r>
      <w:r w:rsidR="00EB6C4C">
        <w:t>, or</w:t>
      </w:r>
    </w:p>
    <w:p w14:paraId="1E04D7EA" w14:textId="64635C03" w:rsidR="00EB6C4C" w:rsidRPr="00BC2421" w:rsidRDefault="00296E6E" w:rsidP="00531E62">
      <w:pPr>
        <w:pStyle w:val="a6"/>
        <w:numPr>
          <w:ilvl w:val="0"/>
          <w:numId w:val="19"/>
        </w:numPr>
        <w:spacing w:beforeLines="50" w:before="156" w:afterLines="50" w:after="156"/>
        <w:ind w:firstLineChars="0"/>
      </w:pPr>
      <w:r>
        <w:t xml:space="preserve">Option 2: </w:t>
      </w:r>
      <w:r w:rsidR="00EB6C4C">
        <w:t xml:space="preserve">A set of configurations generated by the NW </w:t>
      </w:r>
      <w:r w:rsidR="00F84F78">
        <w:t xml:space="preserve">separately </w:t>
      </w:r>
      <w:r w:rsidR="00EB6C4C">
        <w:t>and provided to UE</w:t>
      </w:r>
    </w:p>
    <w:p w14:paraId="24F2F4EE" w14:textId="3B535D78" w:rsidR="007E3100" w:rsidRDefault="003F35B1" w:rsidP="00A77B6C">
      <w:pPr>
        <w:spacing w:beforeLines="50" w:before="156" w:afterLines="50" w:after="156"/>
        <w:rPr>
          <w:rFonts w:ascii="Times New Roman" w:hAnsi="Times New Roman"/>
        </w:rPr>
      </w:pPr>
      <w:r>
        <w:rPr>
          <w:rFonts w:ascii="Times New Roman" w:hAnsi="Times New Roman"/>
        </w:rPr>
        <w:t xml:space="preserve">First of all, in the legacy cell switch, </w:t>
      </w:r>
      <w:r w:rsidR="00AA4E78">
        <w:rPr>
          <w:rFonts w:ascii="Times New Roman" w:hAnsi="Times New Roman"/>
        </w:rPr>
        <w:t xml:space="preserve">the source cell configuration is taken as the reference for delta configuration. </w:t>
      </w:r>
      <w:r w:rsidR="00CA53CF">
        <w:rPr>
          <w:rFonts w:ascii="Times New Roman" w:hAnsi="Times New Roman"/>
        </w:rPr>
        <w:t xml:space="preserve">Even in case of inter-DU cell switch, the source cell configuration is provided by CU to the target DU for </w:t>
      </w:r>
      <w:r w:rsidR="007127F0">
        <w:rPr>
          <w:rFonts w:ascii="Times New Roman" w:hAnsi="Times New Roman"/>
        </w:rPr>
        <w:t xml:space="preserve">delta configuration, e.g., via the </w:t>
      </w:r>
      <w:proofErr w:type="spellStart"/>
      <w:r w:rsidR="00620CD3" w:rsidRPr="00531E62">
        <w:rPr>
          <w:rFonts w:ascii="Times New Roman" w:hAnsi="Times New Roman"/>
          <w:i/>
          <w:iCs/>
        </w:rPr>
        <w:t>sourceConfig</w:t>
      </w:r>
      <w:proofErr w:type="spellEnd"/>
      <w:r w:rsidR="00620CD3">
        <w:rPr>
          <w:rFonts w:ascii="Times New Roman" w:hAnsi="Times New Roman"/>
        </w:rPr>
        <w:t xml:space="preserve"> field in the </w:t>
      </w:r>
      <w:proofErr w:type="spellStart"/>
      <w:r w:rsidR="00322785" w:rsidRPr="00531E62">
        <w:rPr>
          <w:rFonts w:ascii="Times New Roman" w:hAnsi="Times New Roman"/>
          <w:i/>
          <w:iCs/>
        </w:rPr>
        <w:t>Handover</w:t>
      </w:r>
      <w:r w:rsidR="00817A8B" w:rsidRPr="00531E62">
        <w:rPr>
          <w:rFonts w:ascii="Times New Roman" w:hAnsi="Times New Roman"/>
          <w:i/>
          <w:iCs/>
        </w:rPr>
        <w:t>PreparationInformation</w:t>
      </w:r>
      <w:proofErr w:type="spellEnd"/>
      <w:r w:rsidR="00817A8B">
        <w:rPr>
          <w:rFonts w:ascii="Times New Roman" w:hAnsi="Times New Roman"/>
        </w:rPr>
        <w:t xml:space="preserve"> message. </w:t>
      </w:r>
      <w:r w:rsidR="00AA4E78">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30731" w:rsidRPr="00F10B4F" w14:paraId="36CD4CDE" w14:textId="77777777" w:rsidTr="002B08AE">
        <w:tc>
          <w:tcPr>
            <w:tcW w:w="9634" w:type="dxa"/>
            <w:tcBorders>
              <w:top w:val="single" w:sz="4" w:space="0" w:color="auto"/>
              <w:left w:val="single" w:sz="4" w:space="0" w:color="auto"/>
              <w:bottom w:val="single" w:sz="4" w:space="0" w:color="auto"/>
              <w:right w:val="single" w:sz="4" w:space="0" w:color="auto"/>
            </w:tcBorders>
            <w:hideMark/>
          </w:tcPr>
          <w:p w14:paraId="1D328963" w14:textId="77777777" w:rsidR="00830731" w:rsidRPr="00F10B4F" w:rsidRDefault="00830731" w:rsidP="00F2623D">
            <w:pPr>
              <w:pStyle w:val="TAH"/>
              <w:rPr>
                <w:lang w:eastAsia="sv-SE"/>
              </w:rPr>
            </w:pPr>
            <w:proofErr w:type="spellStart"/>
            <w:r w:rsidRPr="00F10B4F">
              <w:rPr>
                <w:i/>
                <w:lang w:eastAsia="sv-SE"/>
              </w:rPr>
              <w:t>HandoverPreparationInformation</w:t>
            </w:r>
            <w:proofErr w:type="spellEnd"/>
            <w:r w:rsidRPr="00F10B4F">
              <w:rPr>
                <w:lang w:eastAsia="sv-SE"/>
              </w:rPr>
              <w:t xml:space="preserve"> field descriptions</w:t>
            </w:r>
          </w:p>
        </w:tc>
      </w:tr>
      <w:tr w:rsidR="00830731" w:rsidRPr="00F10B4F" w14:paraId="7B58778C" w14:textId="77777777" w:rsidTr="002B08AE">
        <w:tc>
          <w:tcPr>
            <w:tcW w:w="9634" w:type="dxa"/>
            <w:tcBorders>
              <w:top w:val="single" w:sz="4" w:space="0" w:color="auto"/>
              <w:left w:val="single" w:sz="4" w:space="0" w:color="auto"/>
              <w:bottom w:val="single" w:sz="4" w:space="0" w:color="auto"/>
              <w:right w:val="single" w:sz="4" w:space="0" w:color="auto"/>
            </w:tcBorders>
            <w:hideMark/>
          </w:tcPr>
          <w:p w14:paraId="7D0AB96F" w14:textId="77777777" w:rsidR="00830731" w:rsidRPr="00F10B4F" w:rsidRDefault="00830731" w:rsidP="00F2623D">
            <w:pPr>
              <w:pStyle w:val="TAL"/>
              <w:rPr>
                <w:b/>
                <w:i/>
                <w:lang w:eastAsia="sv-SE"/>
              </w:rPr>
            </w:pPr>
            <w:r w:rsidRPr="00F10B4F">
              <w:rPr>
                <w:b/>
                <w:i/>
                <w:lang w:eastAsia="sv-SE"/>
              </w:rPr>
              <w:t>as-Context</w:t>
            </w:r>
          </w:p>
          <w:p w14:paraId="1F78E0E5" w14:textId="77777777" w:rsidR="00830731" w:rsidRPr="00F10B4F" w:rsidRDefault="00830731" w:rsidP="00F2623D">
            <w:pPr>
              <w:pStyle w:val="TAL"/>
              <w:rPr>
                <w:lang w:eastAsia="sv-SE"/>
              </w:rPr>
            </w:pPr>
            <w:r w:rsidRPr="00F10B4F">
              <w:rPr>
                <w:lang w:eastAsia="sv-SE"/>
              </w:rPr>
              <w:t xml:space="preserve">Local RAN context required by the target </w:t>
            </w:r>
            <w:proofErr w:type="spellStart"/>
            <w:r w:rsidRPr="00F10B4F">
              <w:rPr>
                <w:lang w:eastAsia="sv-SE"/>
              </w:rPr>
              <w:t>gNB</w:t>
            </w:r>
            <w:proofErr w:type="spellEnd"/>
            <w:r w:rsidRPr="00F10B4F">
              <w:rPr>
                <w:lang w:eastAsia="sv-SE"/>
              </w:rPr>
              <w:t xml:space="preserve"> or DU.</w:t>
            </w:r>
          </w:p>
        </w:tc>
      </w:tr>
      <w:tr w:rsidR="00830731" w:rsidRPr="00F10B4F" w14:paraId="09A27DC8" w14:textId="77777777" w:rsidTr="002B08AE">
        <w:tc>
          <w:tcPr>
            <w:tcW w:w="9634" w:type="dxa"/>
            <w:tcBorders>
              <w:top w:val="single" w:sz="4" w:space="0" w:color="auto"/>
              <w:left w:val="single" w:sz="4" w:space="0" w:color="auto"/>
              <w:bottom w:val="single" w:sz="4" w:space="0" w:color="auto"/>
              <w:right w:val="single" w:sz="4" w:space="0" w:color="auto"/>
            </w:tcBorders>
            <w:hideMark/>
          </w:tcPr>
          <w:p w14:paraId="0BEF2535" w14:textId="77777777" w:rsidR="00830731" w:rsidRPr="00F10B4F" w:rsidRDefault="00830731" w:rsidP="00F2623D">
            <w:pPr>
              <w:pStyle w:val="TAL"/>
              <w:rPr>
                <w:b/>
                <w:i/>
                <w:lang w:eastAsia="sv-SE"/>
              </w:rPr>
            </w:pPr>
            <w:proofErr w:type="spellStart"/>
            <w:r w:rsidRPr="00F10B4F">
              <w:rPr>
                <w:b/>
                <w:i/>
                <w:lang w:eastAsia="sv-SE"/>
              </w:rPr>
              <w:t>rrm</w:t>
            </w:r>
            <w:proofErr w:type="spellEnd"/>
            <w:r w:rsidRPr="00F10B4F">
              <w:rPr>
                <w:b/>
                <w:i/>
                <w:lang w:eastAsia="sv-SE"/>
              </w:rPr>
              <w:t>-Config</w:t>
            </w:r>
          </w:p>
          <w:p w14:paraId="707312BB" w14:textId="77777777" w:rsidR="00830731" w:rsidRPr="00F10B4F" w:rsidRDefault="00830731" w:rsidP="00F2623D">
            <w:pPr>
              <w:pStyle w:val="TAL"/>
              <w:rPr>
                <w:b/>
                <w:i/>
                <w:lang w:eastAsia="sv-SE"/>
              </w:rPr>
            </w:pPr>
            <w:r w:rsidRPr="00F10B4F">
              <w:rPr>
                <w:lang w:eastAsia="sv-SE"/>
              </w:rPr>
              <w:t>Local RAN context used mainly for RRM purposes.</w:t>
            </w:r>
          </w:p>
        </w:tc>
      </w:tr>
      <w:tr w:rsidR="00830731" w:rsidRPr="00F10B4F" w14:paraId="2C527664" w14:textId="77777777" w:rsidTr="002B08AE">
        <w:tc>
          <w:tcPr>
            <w:tcW w:w="9634" w:type="dxa"/>
            <w:tcBorders>
              <w:top w:val="single" w:sz="4" w:space="0" w:color="auto"/>
              <w:left w:val="single" w:sz="4" w:space="0" w:color="auto"/>
              <w:bottom w:val="single" w:sz="4" w:space="0" w:color="auto"/>
              <w:right w:val="single" w:sz="4" w:space="0" w:color="auto"/>
            </w:tcBorders>
            <w:hideMark/>
          </w:tcPr>
          <w:p w14:paraId="39C02039" w14:textId="77777777" w:rsidR="00830731" w:rsidRPr="002B08AE" w:rsidRDefault="00830731" w:rsidP="00F2623D">
            <w:pPr>
              <w:pStyle w:val="TAL"/>
              <w:rPr>
                <w:b/>
                <w:i/>
                <w:highlight w:val="yellow"/>
                <w:lang w:eastAsia="sv-SE"/>
              </w:rPr>
            </w:pPr>
            <w:proofErr w:type="spellStart"/>
            <w:r w:rsidRPr="002B08AE">
              <w:rPr>
                <w:b/>
                <w:i/>
                <w:highlight w:val="yellow"/>
                <w:lang w:eastAsia="sv-SE"/>
              </w:rPr>
              <w:t>sourceConfig</w:t>
            </w:r>
            <w:proofErr w:type="spellEnd"/>
          </w:p>
          <w:p w14:paraId="1AA0F7E3" w14:textId="77777777" w:rsidR="00830731" w:rsidRPr="002B08AE" w:rsidRDefault="00830731" w:rsidP="00F2623D">
            <w:pPr>
              <w:pStyle w:val="TAL"/>
              <w:rPr>
                <w:highlight w:val="yellow"/>
                <w:lang w:eastAsia="sv-SE"/>
              </w:rPr>
            </w:pPr>
            <w:r w:rsidRPr="002B08AE">
              <w:rPr>
                <w:highlight w:val="yellow"/>
                <w:lang w:eastAsia="sv-SE"/>
              </w:rPr>
              <w:t>The radio resource configuration as used in the source cell.</w:t>
            </w:r>
          </w:p>
        </w:tc>
      </w:tr>
    </w:tbl>
    <w:p w14:paraId="2CF502F1" w14:textId="1957E764" w:rsidR="004671B0" w:rsidRPr="002B08AE" w:rsidRDefault="00D87CE8" w:rsidP="00A77B6C">
      <w:pPr>
        <w:spacing w:beforeLines="50" w:before="156" w:afterLines="50" w:after="156"/>
        <w:rPr>
          <w:rFonts w:ascii="Times New Roman" w:hAnsi="Times New Roman"/>
          <w:b/>
          <w:bCs/>
        </w:rPr>
      </w:pPr>
      <w:r w:rsidRPr="002B08AE">
        <w:rPr>
          <w:rFonts w:ascii="Times New Roman" w:hAnsi="Times New Roman"/>
          <w:b/>
          <w:bCs/>
        </w:rPr>
        <w:t xml:space="preserve">Observation 1: </w:t>
      </w:r>
      <w:r w:rsidR="00321FB9" w:rsidRPr="002B08AE">
        <w:rPr>
          <w:rFonts w:ascii="Times New Roman" w:hAnsi="Times New Roman"/>
          <w:b/>
          <w:bCs/>
        </w:rPr>
        <w:t xml:space="preserve">In legacy cell switch, the source cell configuration is taken as the reference for delta configuration. In case of inter-DU cell switch, CU provides the source cell configuration to target DU via the </w:t>
      </w:r>
      <w:proofErr w:type="spellStart"/>
      <w:r w:rsidR="00321FB9" w:rsidRPr="002B08AE">
        <w:rPr>
          <w:rFonts w:ascii="Times New Roman" w:hAnsi="Times New Roman"/>
          <w:b/>
          <w:bCs/>
          <w:i/>
          <w:iCs/>
        </w:rPr>
        <w:t>HandoverPreparationInformation</w:t>
      </w:r>
      <w:proofErr w:type="spellEnd"/>
      <w:r w:rsidR="00321FB9" w:rsidRPr="002B08AE">
        <w:rPr>
          <w:rFonts w:ascii="Times New Roman" w:hAnsi="Times New Roman"/>
          <w:b/>
          <w:bCs/>
        </w:rPr>
        <w:t xml:space="preserve"> message. </w:t>
      </w:r>
    </w:p>
    <w:p w14:paraId="3ABCDFB5" w14:textId="1BC27F27" w:rsidR="00321FB9" w:rsidRDefault="00321FB9" w:rsidP="00A77B6C">
      <w:pPr>
        <w:spacing w:beforeLines="50" w:before="156" w:afterLines="50" w:after="156"/>
        <w:rPr>
          <w:rFonts w:ascii="Times New Roman" w:hAnsi="Times New Roman"/>
        </w:rPr>
      </w:pPr>
      <w:r>
        <w:rPr>
          <w:rFonts w:ascii="Times New Roman" w:hAnsi="Times New Roman"/>
        </w:rPr>
        <w:t xml:space="preserve">Considering above, </w:t>
      </w:r>
      <w:r w:rsidR="00450B5A">
        <w:rPr>
          <w:rFonts w:ascii="Times New Roman" w:hAnsi="Times New Roman"/>
        </w:rPr>
        <w:t xml:space="preserve">when configuring LTM, the source cell configuration can be used by the network as the reference configuration. UE will store its current source cell configuration separately when receiving the LTM configuration from NW and use it for the subsequent LTM operation. In such approach, NW does not need to generate another set of reference configuration and </w:t>
      </w:r>
      <w:r w:rsidR="000B610A">
        <w:rPr>
          <w:rFonts w:ascii="Times New Roman" w:hAnsi="Times New Roman"/>
        </w:rPr>
        <w:t>provides to UE. Signaling overhead and processing complexity can be saved. For example, it can work as following:</w:t>
      </w:r>
    </w:p>
    <w:p w14:paraId="3CD392ED" w14:textId="437AF62B" w:rsidR="00657D71" w:rsidRDefault="00657D71" w:rsidP="00657D71">
      <w:pPr>
        <w:pStyle w:val="a6"/>
        <w:numPr>
          <w:ilvl w:val="0"/>
          <w:numId w:val="20"/>
        </w:numPr>
        <w:ind w:firstLineChars="0"/>
        <w:contextualSpacing/>
        <w:rPr>
          <w:rFonts w:eastAsiaTheme="minorEastAsia"/>
        </w:rPr>
      </w:pPr>
      <w:proofErr w:type="spellStart"/>
      <w:r>
        <w:rPr>
          <w:rFonts w:eastAsiaTheme="minorEastAsia"/>
        </w:rPr>
        <w:t>gNB</w:t>
      </w:r>
      <w:proofErr w:type="spellEnd"/>
      <w:r>
        <w:rPr>
          <w:rFonts w:eastAsiaTheme="minorEastAsia"/>
        </w:rPr>
        <w:t xml:space="preserve"> CU initiates LTM configuration</w:t>
      </w:r>
      <w:r w:rsidRPr="001E336E">
        <w:rPr>
          <w:rFonts w:eastAsiaTheme="minorEastAsia"/>
        </w:rPr>
        <w:t xml:space="preserve">. The configuration of the </w:t>
      </w:r>
      <w:r>
        <w:rPr>
          <w:rFonts w:eastAsiaTheme="minorEastAsia"/>
        </w:rPr>
        <w:t xml:space="preserve">current cell </w:t>
      </w:r>
      <w:r w:rsidRPr="001E336E">
        <w:rPr>
          <w:rFonts w:eastAsiaTheme="minorEastAsia"/>
        </w:rPr>
        <w:t>is taken as the reference and</w:t>
      </w:r>
      <w:r>
        <w:rPr>
          <w:rFonts w:eastAsiaTheme="minorEastAsia"/>
        </w:rPr>
        <w:t xml:space="preserve"> is</w:t>
      </w:r>
      <w:r w:rsidRPr="001E336E">
        <w:rPr>
          <w:rFonts w:eastAsiaTheme="minorEastAsia"/>
        </w:rPr>
        <w:t xml:space="preserve"> sent to the target </w:t>
      </w:r>
      <w:proofErr w:type="spellStart"/>
      <w:r>
        <w:rPr>
          <w:rFonts w:eastAsiaTheme="minorEastAsia"/>
        </w:rPr>
        <w:t>gNB</w:t>
      </w:r>
      <w:proofErr w:type="spellEnd"/>
      <w:r>
        <w:rPr>
          <w:rFonts w:eastAsiaTheme="minorEastAsia"/>
        </w:rPr>
        <w:t xml:space="preserve"> DU</w:t>
      </w:r>
      <w:r w:rsidRPr="001E336E">
        <w:rPr>
          <w:rFonts w:eastAsiaTheme="minorEastAsia"/>
        </w:rPr>
        <w:t xml:space="preserve"> for delta configuration.</w:t>
      </w:r>
    </w:p>
    <w:p w14:paraId="1BB8659E" w14:textId="6E96B2FE" w:rsidR="00657D71" w:rsidRDefault="00657D71" w:rsidP="00657D71">
      <w:pPr>
        <w:pStyle w:val="a6"/>
        <w:numPr>
          <w:ilvl w:val="0"/>
          <w:numId w:val="20"/>
        </w:numPr>
        <w:ind w:firstLineChars="0"/>
        <w:contextualSpacing/>
        <w:rPr>
          <w:rFonts w:eastAsiaTheme="minorEastAsia"/>
        </w:rPr>
      </w:pPr>
      <w:r>
        <w:rPr>
          <w:rFonts w:eastAsiaTheme="minorEastAsia"/>
        </w:rPr>
        <w:t xml:space="preserve">Target </w:t>
      </w:r>
      <w:proofErr w:type="spellStart"/>
      <w:r>
        <w:rPr>
          <w:rFonts w:eastAsiaTheme="minorEastAsia"/>
        </w:rPr>
        <w:t>gNB</w:t>
      </w:r>
      <w:proofErr w:type="spellEnd"/>
      <w:r>
        <w:rPr>
          <w:rFonts w:eastAsiaTheme="minorEastAsia"/>
        </w:rPr>
        <w:t xml:space="preserve"> DU</w:t>
      </w:r>
      <w:r w:rsidRPr="001E336E">
        <w:rPr>
          <w:rFonts w:eastAsiaTheme="minorEastAsia"/>
        </w:rPr>
        <w:t xml:space="preserve"> generates the </w:t>
      </w:r>
      <w:r>
        <w:rPr>
          <w:rFonts w:eastAsiaTheme="minorEastAsia"/>
        </w:rPr>
        <w:t xml:space="preserve">delta configuration for candidate cells and send it back to </w:t>
      </w:r>
      <w:proofErr w:type="spellStart"/>
      <w:r>
        <w:rPr>
          <w:rFonts w:eastAsiaTheme="minorEastAsia"/>
        </w:rPr>
        <w:t>gNB</w:t>
      </w:r>
      <w:proofErr w:type="spellEnd"/>
      <w:r>
        <w:rPr>
          <w:rFonts w:eastAsiaTheme="minorEastAsia"/>
        </w:rPr>
        <w:t xml:space="preserve"> CU</w:t>
      </w:r>
      <w:r w:rsidRPr="001E336E">
        <w:rPr>
          <w:rFonts w:eastAsiaTheme="minorEastAsia"/>
        </w:rPr>
        <w:t>.</w:t>
      </w:r>
      <w:r>
        <w:rPr>
          <w:rFonts w:eastAsiaTheme="minorEastAsia"/>
        </w:rPr>
        <w:t xml:space="preserve"> The source </w:t>
      </w:r>
      <w:proofErr w:type="spellStart"/>
      <w:r>
        <w:rPr>
          <w:rFonts w:eastAsiaTheme="minorEastAsia"/>
        </w:rPr>
        <w:t>gNB</w:t>
      </w:r>
      <w:proofErr w:type="spellEnd"/>
      <w:r>
        <w:rPr>
          <w:rFonts w:eastAsiaTheme="minorEastAsia"/>
        </w:rPr>
        <w:t xml:space="preserve"> DU </w:t>
      </w:r>
      <w:r w:rsidR="00136C89">
        <w:rPr>
          <w:rFonts w:eastAsiaTheme="minorEastAsia"/>
        </w:rPr>
        <w:t>may do the same (i.e., generates delta configuration) if some candidate cells are prepared by the source DU</w:t>
      </w:r>
      <w:r>
        <w:rPr>
          <w:rFonts w:eastAsiaTheme="minorEastAsia"/>
        </w:rPr>
        <w:t xml:space="preserve">.  </w:t>
      </w:r>
    </w:p>
    <w:p w14:paraId="0C1F17DF" w14:textId="61174A65" w:rsidR="00657D71" w:rsidRDefault="00657D71" w:rsidP="00657D71">
      <w:pPr>
        <w:pStyle w:val="a6"/>
        <w:numPr>
          <w:ilvl w:val="1"/>
          <w:numId w:val="20"/>
        </w:numPr>
        <w:ind w:firstLineChars="0"/>
        <w:contextualSpacing/>
        <w:rPr>
          <w:rFonts w:eastAsiaTheme="minorEastAsia"/>
        </w:rPr>
      </w:pPr>
      <w:r>
        <w:rPr>
          <w:rFonts w:eastAsiaTheme="minorEastAsia"/>
        </w:rPr>
        <w:t xml:space="preserve">Note that </w:t>
      </w:r>
      <w:proofErr w:type="spellStart"/>
      <w:r>
        <w:rPr>
          <w:rFonts w:eastAsiaTheme="minorEastAsia"/>
        </w:rPr>
        <w:t>gNB</w:t>
      </w:r>
      <w:proofErr w:type="spellEnd"/>
      <w:r>
        <w:rPr>
          <w:rFonts w:eastAsiaTheme="minorEastAsia"/>
        </w:rPr>
        <w:t xml:space="preserve"> CU/DU does not need to generate another set of reference configuration in this case. </w:t>
      </w:r>
    </w:p>
    <w:p w14:paraId="1FE385B4" w14:textId="4B1E80C7" w:rsidR="00657D71" w:rsidRDefault="00657D71" w:rsidP="00657D71">
      <w:pPr>
        <w:pStyle w:val="a6"/>
        <w:numPr>
          <w:ilvl w:val="0"/>
          <w:numId w:val="20"/>
        </w:numPr>
        <w:ind w:firstLineChars="0"/>
        <w:contextualSpacing/>
        <w:rPr>
          <w:rFonts w:eastAsiaTheme="minorEastAsia"/>
        </w:rPr>
      </w:pPr>
      <w:r w:rsidRPr="001E336E">
        <w:rPr>
          <w:rFonts w:eastAsiaTheme="minorEastAsia"/>
        </w:rPr>
        <w:t xml:space="preserve">After UE receives the </w:t>
      </w:r>
      <w:r>
        <w:rPr>
          <w:rFonts w:eastAsiaTheme="minorEastAsia"/>
        </w:rPr>
        <w:t>LTM</w:t>
      </w:r>
      <w:r w:rsidRPr="001E336E">
        <w:rPr>
          <w:rFonts w:eastAsiaTheme="minorEastAsia"/>
        </w:rPr>
        <w:t xml:space="preserve">, </w:t>
      </w:r>
      <w:r>
        <w:rPr>
          <w:rFonts w:eastAsiaTheme="minorEastAsia"/>
        </w:rPr>
        <w:t xml:space="preserve">UE stores the current source cell configuration as the reference configuration separately, e.g., as one UE variable. </w:t>
      </w:r>
    </w:p>
    <w:p w14:paraId="768D0D00" w14:textId="3BB82B54" w:rsidR="00657D71" w:rsidRPr="001E336E" w:rsidRDefault="00657D71" w:rsidP="00657D71">
      <w:pPr>
        <w:pStyle w:val="a6"/>
        <w:numPr>
          <w:ilvl w:val="0"/>
          <w:numId w:val="20"/>
        </w:numPr>
        <w:ind w:firstLineChars="0"/>
        <w:contextualSpacing/>
        <w:rPr>
          <w:rFonts w:eastAsiaTheme="minorEastAsia"/>
        </w:rPr>
      </w:pPr>
      <w:r>
        <w:rPr>
          <w:rFonts w:eastAsiaTheme="minorEastAsia"/>
        </w:rPr>
        <w:t xml:space="preserve">In the subsequent LTM cell switch, UE always apply the delta configuration of a candidate cell on top of the separately stored reference configuration, which is the configuration of the initial </w:t>
      </w:r>
      <w:r w:rsidR="00752745">
        <w:rPr>
          <w:rFonts w:eastAsiaTheme="minorEastAsia"/>
        </w:rPr>
        <w:t>cell</w:t>
      </w:r>
      <w:r>
        <w:rPr>
          <w:rFonts w:eastAsiaTheme="minorEastAsia"/>
        </w:rPr>
        <w:t xml:space="preserve"> when UE receives the </w:t>
      </w:r>
      <w:r w:rsidR="00752745">
        <w:rPr>
          <w:rFonts w:eastAsiaTheme="minorEastAsia"/>
        </w:rPr>
        <w:t>LTM</w:t>
      </w:r>
      <w:r>
        <w:rPr>
          <w:rFonts w:eastAsiaTheme="minorEastAsia"/>
        </w:rPr>
        <w:t xml:space="preserve"> configuration at the first place. </w:t>
      </w:r>
    </w:p>
    <w:p w14:paraId="4CCC284C" w14:textId="14F713B6" w:rsidR="000B610A" w:rsidRDefault="009440CF" w:rsidP="00070A8C">
      <w:pPr>
        <w:spacing w:beforeLines="50" w:before="156" w:afterLines="50" w:after="156"/>
        <w:jc w:val="center"/>
        <w:rPr>
          <w:rFonts w:ascii="Times New Roman" w:hAnsi="Times New Roman"/>
        </w:rPr>
      </w:pPr>
      <w:r>
        <w:rPr>
          <w:noProof/>
        </w:rPr>
        <w:lastRenderedPageBreak/>
        <w:drawing>
          <wp:inline distT="0" distB="0" distL="0" distR="0" wp14:anchorId="65BBEC5B" wp14:editId="4840D14A">
            <wp:extent cx="5453743" cy="25234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80129" cy="2535676"/>
                    </a:xfrm>
                    <a:prstGeom prst="rect">
                      <a:avLst/>
                    </a:prstGeom>
                  </pic:spPr>
                </pic:pic>
              </a:graphicData>
            </a:graphic>
          </wp:inline>
        </w:drawing>
      </w:r>
    </w:p>
    <w:p w14:paraId="034CABEA" w14:textId="42E87D24" w:rsidR="00321FB9" w:rsidRDefault="00727AC7" w:rsidP="00070A8C">
      <w:pPr>
        <w:spacing w:beforeLines="50" w:before="156" w:afterLines="50" w:after="156"/>
        <w:jc w:val="center"/>
        <w:rPr>
          <w:rFonts w:ascii="Times New Roman" w:hAnsi="Times New Roman"/>
        </w:rPr>
      </w:pPr>
      <w:r>
        <w:rPr>
          <w:rFonts w:ascii="Times New Roman" w:hAnsi="Times New Roman" w:hint="eastAsia"/>
        </w:rPr>
        <w:t>F</w:t>
      </w:r>
      <w:r>
        <w:rPr>
          <w:rFonts w:ascii="Times New Roman" w:hAnsi="Times New Roman"/>
        </w:rPr>
        <w:t xml:space="preserve">igure 2: </w:t>
      </w:r>
      <w:r w:rsidR="00583C26" w:rsidRPr="00070A8C">
        <w:rPr>
          <w:rFonts w:ascii="Times New Roman" w:hAnsi="Times New Roman"/>
        </w:rPr>
        <w:t>example of LTM using the initial cell configuration as the reference</w:t>
      </w:r>
    </w:p>
    <w:p w14:paraId="60BC1D06" w14:textId="38152271" w:rsidR="00727AC7" w:rsidRDefault="005F4B25" w:rsidP="00A77B6C">
      <w:pPr>
        <w:spacing w:beforeLines="50" w:before="156" w:afterLines="50" w:after="156"/>
        <w:rPr>
          <w:rFonts w:ascii="Times New Roman" w:hAnsi="Times New Roman"/>
          <w:b/>
          <w:bCs/>
        </w:rPr>
      </w:pPr>
      <w:r w:rsidRPr="00070A8C">
        <w:rPr>
          <w:rFonts w:ascii="Times New Roman" w:hAnsi="Times New Roman"/>
          <w:b/>
          <w:bCs/>
        </w:rPr>
        <w:t>Proposal 1</w:t>
      </w:r>
      <w:r w:rsidRPr="00070A8C">
        <w:rPr>
          <w:rFonts w:ascii="Times New Roman" w:hAnsi="Times New Roman"/>
          <w:b/>
          <w:bCs/>
        </w:rPr>
        <w:tab/>
      </w:r>
      <w:r w:rsidR="000870F7">
        <w:rPr>
          <w:rFonts w:ascii="Times New Roman" w:hAnsi="Times New Roman"/>
          <w:b/>
          <w:bCs/>
        </w:rPr>
        <w:t>T</w:t>
      </w:r>
      <w:r w:rsidRPr="00070A8C">
        <w:rPr>
          <w:rFonts w:ascii="Times New Roman" w:hAnsi="Times New Roman"/>
          <w:b/>
          <w:bCs/>
        </w:rPr>
        <w:t xml:space="preserve">he initial source </w:t>
      </w:r>
      <w:r w:rsidR="000870F7">
        <w:rPr>
          <w:rFonts w:ascii="Times New Roman" w:hAnsi="Times New Roman"/>
          <w:b/>
          <w:bCs/>
        </w:rPr>
        <w:t>cell</w:t>
      </w:r>
      <w:r w:rsidRPr="00070A8C">
        <w:rPr>
          <w:rFonts w:ascii="Times New Roman" w:hAnsi="Times New Roman"/>
          <w:b/>
          <w:bCs/>
        </w:rPr>
        <w:t xml:space="preserve"> configuration (when UE is configured with </w:t>
      </w:r>
      <w:r w:rsidR="009777C6">
        <w:rPr>
          <w:rFonts w:ascii="Times New Roman" w:hAnsi="Times New Roman"/>
          <w:b/>
          <w:bCs/>
        </w:rPr>
        <w:t>LTM</w:t>
      </w:r>
      <w:r w:rsidRPr="00070A8C">
        <w:rPr>
          <w:rFonts w:ascii="Times New Roman" w:hAnsi="Times New Roman"/>
          <w:b/>
          <w:bCs/>
        </w:rPr>
        <w:t xml:space="preserve"> at the first place) can be taken as the reference for </w:t>
      </w:r>
      <w:r w:rsidR="009777C6">
        <w:rPr>
          <w:rFonts w:ascii="Times New Roman" w:hAnsi="Times New Roman"/>
          <w:b/>
          <w:bCs/>
        </w:rPr>
        <w:t>LTM</w:t>
      </w:r>
      <w:r w:rsidRPr="00070A8C">
        <w:rPr>
          <w:rFonts w:ascii="Times New Roman" w:hAnsi="Times New Roman"/>
          <w:b/>
          <w:bCs/>
        </w:rPr>
        <w:t xml:space="preserve"> configuration and the subsequent </w:t>
      </w:r>
      <w:r w:rsidR="009777C6">
        <w:rPr>
          <w:rFonts w:ascii="Times New Roman" w:hAnsi="Times New Roman"/>
          <w:b/>
          <w:bCs/>
        </w:rPr>
        <w:t>cell switch</w:t>
      </w:r>
      <w:r w:rsidRPr="00070A8C">
        <w:rPr>
          <w:rFonts w:ascii="Times New Roman" w:hAnsi="Times New Roman"/>
          <w:b/>
          <w:bCs/>
        </w:rPr>
        <w:t xml:space="preserve">. NW does not need to provide </w:t>
      </w:r>
      <w:r w:rsidR="003029C6">
        <w:rPr>
          <w:rFonts w:ascii="Times New Roman" w:hAnsi="Times New Roman"/>
          <w:b/>
          <w:bCs/>
        </w:rPr>
        <w:t>a separate</w:t>
      </w:r>
      <w:r w:rsidR="009169ED">
        <w:rPr>
          <w:rFonts w:ascii="Times New Roman" w:hAnsi="Times New Roman"/>
          <w:b/>
          <w:bCs/>
        </w:rPr>
        <w:t xml:space="preserve"> set of </w:t>
      </w:r>
      <w:r w:rsidRPr="00070A8C">
        <w:rPr>
          <w:rFonts w:ascii="Times New Roman" w:hAnsi="Times New Roman"/>
          <w:b/>
          <w:bCs/>
        </w:rPr>
        <w:t xml:space="preserve">reference configuration to UE when configuring </w:t>
      </w:r>
      <w:r w:rsidR="009169ED">
        <w:rPr>
          <w:rFonts w:ascii="Times New Roman" w:hAnsi="Times New Roman"/>
          <w:b/>
          <w:bCs/>
        </w:rPr>
        <w:t>LTM</w:t>
      </w:r>
      <w:r w:rsidRPr="00070A8C">
        <w:rPr>
          <w:rFonts w:ascii="Times New Roman" w:hAnsi="Times New Roman"/>
          <w:b/>
          <w:bCs/>
        </w:rPr>
        <w:t>.</w:t>
      </w:r>
    </w:p>
    <w:p w14:paraId="472127AA" w14:textId="35DD3334" w:rsidR="003029C6" w:rsidRPr="00070A8C" w:rsidRDefault="003029C6" w:rsidP="00A77B6C">
      <w:pPr>
        <w:spacing w:beforeLines="50" w:before="156" w:afterLines="50" w:after="156"/>
        <w:rPr>
          <w:rFonts w:ascii="Times New Roman" w:hAnsi="Times New Roman"/>
          <w:b/>
          <w:bCs/>
        </w:rPr>
      </w:pPr>
      <w:r>
        <w:rPr>
          <w:rFonts w:ascii="Times New Roman" w:hAnsi="Times New Roman"/>
          <w:b/>
          <w:bCs/>
        </w:rPr>
        <w:t>Proposal 2</w:t>
      </w:r>
      <w:r>
        <w:rPr>
          <w:rFonts w:ascii="Times New Roman" w:hAnsi="Times New Roman"/>
          <w:b/>
          <w:bCs/>
        </w:rPr>
        <w:tab/>
        <w:t xml:space="preserve">RAN2 further discusses the </w:t>
      </w:r>
      <w:r w:rsidR="00036E32">
        <w:rPr>
          <w:rFonts w:ascii="Times New Roman" w:hAnsi="Times New Roman"/>
          <w:b/>
          <w:bCs/>
        </w:rPr>
        <w:t>need</w:t>
      </w:r>
      <w:r>
        <w:rPr>
          <w:rFonts w:ascii="Times New Roman" w:hAnsi="Times New Roman"/>
          <w:b/>
          <w:bCs/>
        </w:rPr>
        <w:t xml:space="preserve"> for NW to generate a </w:t>
      </w:r>
      <w:r w:rsidR="00D62F4F">
        <w:rPr>
          <w:rFonts w:ascii="Times New Roman" w:hAnsi="Times New Roman"/>
          <w:b/>
          <w:bCs/>
        </w:rPr>
        <w:t>separate</w:t>
      </w:r>
      <w:r>
        <w:rPr>
          <w:rFonts w:ascii="Times New Roman" w:hAnsi="Times New Roman"/>
          <w:b/>
          <w:bCs/>
        </w:rPr>
        <w:t xml:space="preserve"> set of reference configuration </w:t>
      </w:r>
      <w:r w:rsidR="00BF1BDA">
        <w:rPr>
          <w:rFonts w:ascii="Times New Roman" w:hAnsi="Times New Roman"/>
          <w:b/>
          <w:bCs/>
        </w:rPr>
        <w:t xml:space="preserve">different from </w:t>
      </w:r>
      <w:r w:rsidR="00BF1BDA" w:rsidRPr="009F5DDF">
        <w:rPr>
          <w:rFonts w:ascii="Times New Roman" w:hAnsi="Times New Roman"/>
          <w:b/>
          <w:bCs/>
        </w:rPr>
        <w:t xml:space="preserve">initial source </w:t>
      </w:r>
      <w:r w:rsidR="00BF1BDA">
        <w:rPr>
          <w:rFonts w:ascii="Times New Roman" w:hAnsi="Times New Roman"/>
          <w:b/>
          <w:bCs/>
        </w:rPr>
        <w:t>cell</w:t>
      </w:r>
      <w:r w:rsidR="00BF1BDA" w:rsidRPr="009F5DDF">
        <w:rPr>
          <w:rFonts w:ascii="Times New Roman" w:hAnsi="Times New Roman"/>
          <w:b/>
          <w:bCs/>
        </w:rPr>
        <w:t xml:space="preserve"> configuration</w:t>
      </w:r>
      <w:r w:rsidR="00BF1BDA">
        <w:rPr>
          <w:rFonts w:ascii="Times New Roman" w:hAnsi="Times New Roman"/>
          <w:b/>
          <w:bCs/>
        </w:rPr>
        <w:t xml:space="preserve"> </w:t>
      </w:r>
      <w:r w:rsidR="00D62F4F">
        <w:rPr>
          <w:rFonts w:ascii="Times New Roman" w:hAnsi="Times New Roman"/>
          <w:b/>
          <w:bCs/>
        </w:rPr>
        <w:t>for LTM configuration</w:t>
      </w:r>
      <w:r w:rsidR="00036E32">
        <w:rPr>
          <w:rFonts w:ascii="Times New Roman" w:hAnsi="Times New Roman"/>
          <w:b/>
          <w:bCs/>
        </w:rPr>
        <w:t xml:space="preserve">. </w:t>
      </w:r>
    </w:p>
    <w:p w14:paraId="7B6D4C92" w14:textId="77777777" w:rsidR="00A77B6C" w:rsidRDefault="00A77B6C" w:rsidP="006A69CA">
      <w:pPr>
        <w:spacing w:beforeLines="50" w:before="156" w:afterLines="50" w:after="156"/>
        <w:jc w:val="left"/>
        <w:rPr>
          <w:rFonts w:ascii="Times New Roman" w:hAnsi="Times New Roman"/>
        </w:rPr>
      </w:pPr>
    </w:p>
    <w:p w14:paraId="67B44884" w14:textId="3D398D1C" w:rsidR="00897A5B" w:rsidRPr="00070A8C" w:rsidRDefault="00897A5B" w:rsidP="00070A8C">
      <w:pPr>
        <w:pStyle w:val="2"/>
      </w:pPr>
      <w:r w:rsidRPr="00070A8C">
        <w:t>2.2</w:t>
      </w:r>
      <w:r w:rsidR="0071716B">
        <w:tab/>
      </w:r>
      <w:r w:rsidRPr="00070A8C">
        <w:t xml:space="preserve">Compliance check </w:t>
      </w:r>
      <w:r w:rsidR="00331E86">
        <w:t>for</w:t>
      </w:r>
      <w:r w:rsidRPr="00070A8C">
        <w:t xml:space="preserve"> LTM configuration</w:t>
      </w:r>
    </w:p>
    <w:p w14:paraId="64CEB2DE" w14:textId="6800797F" w:rsidR="006A69CA" w:rsidRPr="00744D26" w:rsidRDefault="00744D26" w:rsidP="006A69CA">
      <w:pPr>
        <w:spacing w:beforeLines="50" w:before="156" w:afterLines="50" w:after="156"/>
        <w:jc w:val="left"/>
        <w:rPr>
          <w:rFonts w:ascii="Times New Roman" w:hAnsi="Times New Roman"/>
        </w:rPr>
      </w:pPr>
      <w:r>
        <w:rPr>
          <w:rFonts w:ascii="Times New Roman" w:hAnsi="Times New Roman" w:hint="eastAsia"/>
        </w:rPr>
        <w:t>S</w:t>
      </w:r>
      <w:r>
        <w:rPr>
          <w:rFonts w:ascii="Times New Roman" w:hAnsi="Times New Roman"/>
        </w:rPr>
        <w:t>ome companies argue that latency for compliance check can be reduced if compliance check can be performed before cell switching</w:t>
      </w:r>
      <w:r w:rsidR="003C6643">
        <w:rPr>
          <w:rFonts w:ascii="Times New Roman" w:hAnsi="Times New Roman"/>
        </w:rPr>
        <w:t xml:space="preserve">. Considering the diversity in email and online discussion, we can have a compromised solution. </w:t>
      </w:r>
      <w:r w:rsidR="00DB7AF1">
        <w:rPr>
          <w:rFonts w:ascii="Times New Roman" w:hAnsi="Times New Roman"/>
        </w:rPr>
        <w:t>Namely, i</w:t>
      </w:r>
      <w:r w:rsidR="003C6643">
        <w:rPr>
          <w:rFonts w:ascii="Times New Roman" w:hAnsi="Times New Roman"/>
        </w:rPr>
        <w:t>t is UE implementation to perform compliance check for LTM configuration upon reception of candidate cell configuration, performing early TA acquisition or executing cell switching.</w:t>
      </w:r>
    </w:p>
    <w:p w14:paraId="61E729C3" w14:textId="371C1A9F" w:rsidR="00CD49D0" w:rsidRPr="002E421B" w:rsidRDefault="00A00D20" w:rsidP="002E421B">
      <w:pPr>
        <w:pStyle w:val="Doc-text2"/>
        <w:ind w:left="0" w:firstLine="0"/>
        <w:rPr>
          <w:rFonts w:ascii="Times New Roman" w:hAnsi="Times New Roman"/>
          <w:b/>
          <w:bCs/>
          <w:szCs w:val="20"/>
          <w:lang w:eastAsia="zh-CN"/>
        </w:rPr>
      </w:pPr>
      <w:r>
        <w:rPr>
          <w:rFonts w:ascii="Times New Roman" w:hAnsi="Times New Roman"/>
          <w:b/>
          <w:bCs/>
          <w:szCs w:val="20"/>
          <w:lang w:eastAsia="zh-CN"/>
        </w:rPr>
        <w:t>Proposal</w:t>
      </w:r>
      <w:r w:rsidR="00DB7AF1">
        <w:rPr>
          <w:rFonts w:ascii="Times New Roman" w:hAnsi="Times New Roman"/>
          <w:b/>
          <w:bCs/>
          <w:szCs w:val="20"/>
          <w:lang w:eastAsia="zh-CN"/>
        </w:rPr>
        <w:t xml:space="preserve"> </w:t>
      </w:r>
      <w:r w:rsidR="006E67AC">
        <w:rPr>
          <w:rFonts w:ascii="Times New Roman" w:hAnsi="Times New Roman"/>
          <w:b/>
          <w:bCs/>
          <w:szCs w:val="20"/>
          <w:lang w:eastAsia="zh-CN"/>
        </w:rPr>
        <w:t>3</w:t>
      </w:r>
      <w:r>
        <w:rPr>
          <w:rFonts w:ascii="Times New Roman" w:hAnsi="Times New Roman"/>
          <w:b/>
          <w:bCs/>
          <w:szCs w:val="20"/>
          <w:lang w:eastAsia="zh-CN"/>
        </w:rPr>
        <w:t xml:space="preserve">: </w:t>
      </w:r>
      <w:r w:rsidR="00DB7AF1" w:rsidRPr="00DB7AF1">
        <w:rPr>
          <w:rFonts w:ascii="Times New Roman" w:hAnsi="Times New Roman"/>
          <w:b/>
          <w:bCs/>
          <w:szCs w:val="20"/>
          <w:lang w:eastAsia="zh-CN"/>
        </w:rPr>
        <w:t>It is UE implementation to perform compliance check for LTM configuration upon reception of candidate cell configuration, performing early TA acquisition or executing cell switching</w:t>
      </w:r>
      <w:r w:rsidR="00CD49D0" w:rsidRPr="002E421B">
        <w:rPr>
          <w:rFonts w:ascii="Times New Roman" w:hAnsi="Times New Roman"/>
          <w:b/>
          <w:bCs/>
          <w:szCs w:val="20"/>
          <w:lang w:eastAsia="zh-CN"/>
        </w:rPr>
        <w:t>.</w:t>
      </w:r>
    </w:p>
    <w:p w14:paraId="63C7768D" w14:textId="56414091" w:rsidR="00602C6E" w:rsidRDefault="00E24598" w:rsidP="0005079B">
      <w:pPr>
        <w:spacing w:beforeLines="50" w:before="156" w:afterLines="50" w:after="156"/>
        <w:rPr>
          <w:rFonts w:ascii="Times New Roman" w:hAnsi="Times New Roman"/>
        </w:rPr>
      </w:pPr>
      <w:r>
        <w:rPr>
          <w:rFonts w:ascii="Times New Roman" w:hAnsi="Times New Roman"/>
        </w:rPr>
        <w:t>C</w:t>
      </w:r>
      <w:r w:rsidR="00602C6E" w:rsidRPr="00EF24E2">
        <w:rPr>
          <w:rFonts w:ascii="Times New Roman" w:hAnsi="Times New Roman"/>
        </w:rPr>
        <w:t>andidate cell configuration can be provided as delta configurations on top of a reference configuration.</w:t>
      </w:r>
      <w:r w:rsidR="0031285E">
        <w:rPr>
          <w:rFonts w:ascii="Times New Roman" w:hAnsi="Times New Roman"/>
        </w:rPr>
        <w:t xml:space="preserve"> </w:t>
      </w:r>
      <w:r w:rsidR="00602C6E" w:rsidRPr="00EF24E2">
        <w:rPr>
          <w:rFonts w:ascii="Times New Roman" w:hAnsi="Times New Roman"/>
        </w:rPr>
        <w:t>The reference configuration is managed separately, and a UE stores the reference configuration as a separate configuration</w:t>
      </w:r>
      <w:r w:rsidR="007C454A">
        <w:rPr>
          <w:rFonts w:ascii="Times New Roman" w:hAnsi="Times New Roman"/>
        </w:rPr>
        <w:t xml:space="preserve"> </w:t>
      </w:r>
      <w:r w:rsidR="007C454A">
        <w:rPr>
          <w:rFonts w:ascii="Times New Roman" w:hAnsi="Times New Roman" w:hint="eastAsia"/>
        </w:rPr>
        <w:t>befo</w:t>
      </w:r>
      <w:r w:rsidR="007C454A">
        <w:rPr>
          <w:rFonts w:ascii="Times New Roman" w:hAnsi="Times New Roman"/>
        </w:rPr>
        <w:t xml:space="preserve">re </w:t>
      </w:r>
      <w:r w:rsidR="003459C3">
        <w:rPr>
          <w:rFonts w:ascii="Times New Roman" w:hAnsi="Times New Roman"/>
        </w:rPr>
        <w:t>compete message is formed</w:t>
      </w:r>
      <w:r w:rsidR="00602C6E" w:rsidRPr="00EF24E2">
        <w:rPr>
          <w:rFonts w:ascii="Times New Roman" w:hAnsi="Times New Roman"/>
        </w:rPr>
        <w:t>.</w:t>
      </w:r>
      <w:r w:rsidR="00DB7AF1">
        <w:rPr>
          <w:rFonts w:ascii="Times New Roman" w:hAnsi="Times New Roman"/>
        </w:rPr>
        <w:t xml:space="preserve"> </w:t>
      </w:r>
      <w:r w:rsidR="00732767">
        <w:rPr>
          <w:rFonts w:ascii="Times New Roman" w:hAnsi="Times New Roman"/>
        </w:rPr>
        <w:t>As discussed in Proposal 1, the r</w:t>
      </w:r>
      <w:r w:rsidR="003A04CB" w:rsidRPr="003A04CB">
        <w:rPr>
          <w:rFonts w:ascii="Times New Roman" w:hAnsi="Times New Roman"/>
        </w:rPr>
        <w:t>eference configuration</w:t>
      </w:r>
      <w:r w:rsidR="003A04CB">
        <w:rPr>
          <w:rFonts w:ascii="Times New Roman" w:hAnsi="Times New Roman"/>
        </w:rPr>
        <w:t xml:space="preserve"> </w:t>
      </w:r>
      <w:r w:rsidR="00732767">
        <w:rPr>
          <w:rFonts w:ascii="Times New Roman" w:hAnsi="Times New Roman"/>
        </w:rPr>
        <w:t xml:space="preserve">for LTM operation can be the initial source cell configuration when LTM is configured or is another set of configuration separately generated by </w:t>
      </w:r>
      <w:proofErr w:type="spellStart"/>
      <w:r w:rsidR="00732767">
        <w:rPr>
          <w:rFonts w:ascii="Times New Roman" w:hAnsi="Times New Roman"/>
        </w:rPr>
        <w:t>gNB</w:t>
      </w:r>
      <w:proofErr w:type="spellEnd"/>
      <w:r w:rsidR="00732767">
        <w:rPr>
          <w:rFonts w:ascii="Times New Roman" w:hAnsi="Times New Roman"/>
        </w:rPr>
        <w:t xml:space="preserve"> (if supported). In either case, we believe </w:t>
      </w:r>
      <w:r w:rsidR="00DB7AF1" w:rsidRPr="00DB7AF1">
        <w:rPr>
          <w:rFonts w:ascii="Times New Roman" w:hAnsi="Times New Roman"/>
        </w:rPr>
        <w:t>compliance check should also cover the reference configuration.</w:t>
      </w:r>
    </w:p>
    <w:p w14:paraId="7AAB8FC6" w14:textId="61A83E92" w:rsidR="005504D9" w:rsidRDefault="005504D9" w:rsidP="00602C6E">
      <w:pPr>
        <w:pStyle w:val="Doc-text2"/>
        <w:ind w:left="0" w:firstLine="0"/>
        <w:rPr>
          <w:rFonts w:ascii="Times New Roman" w:hAnsi="Times New Roman"/>
          <w:b/>
          <w:bCs/>
          <w:szCs w:val="20"/>
          <w:lang w:eastAsia="zh-CN"/>
        </w:rPr>
      </w:pPr>
      <w:r w:rsidRPr="005504D9">
        <w:rPr>
          <w:rFonts w:ascii="Times New Roman" w:hAnsi="Times New Roman" w:hint="eastAsia"/>
          <w:b/>
          <w:bCs/>
          <w:szCs w:val="20"/>
          <w:lang w:eastAsia="zh-CN"/>
        </w:rPr>
        <w:t>O</w:t>
      </w:r>
      <w:r w:rsidRPr="005504D9">
        <w:rPr>
          <w:rFonts w:ascii="Times New Roman" w:hAnsi="Times New Roman"/>
          <w:b/>
          <w:bCs/>
          <w:szCs w:val="20"/>
          <w:lang w:eastAsia="zh-CN"/>
        </w:rPr>
        <w:t xml:space="preserve">bservation </w:t>
      </w:r>
      <w:r w:rsidR="00273F33">
        <w:rPr>
          <w:rFonts w:ascii="Times New Roman" w:hAnsi="Times New Roman"/>
          <w:b/>
          <w:bCs/>
          <w:szCs w:val="20"/>
          <w:lang w:eastAsia="zh-CN"/>
        </w:rPr>
        <w:t>2</w:t>
      </w:r>
      <w:r w:rsidRPr="005504D9">
        <w:rPr>
          <w:rFonts w:ascii="Times New Roman" w:hAnsi="Times New Roman"/>
          <w:b/>
          <w:bCs/>
          <w:szCs w:val="20"/>
          <w:lang w:eastAsia="zh-CN"/>
        </w:rPr>
        <w:t xml:space="preserve">: </w:t>
      </w:r>
      <w:r>
        <w:rPr>
          <w:rFonts w:ascii="Times New Roman" w:hAnsi="Times New Roman"/>
          <w:b/>
          <w:bCs/>
          <w:szCs w:val="20"/>
          <w:lang w:eastAsia="zh-CN"/>
        </w:rPr>
        <w:t>A</w:t>
      </w:r>
      <w:r w:rsidRPr="005504D9">
        <w:rPr>
          <w:rFonts w:ascii="Times New Roman" w:hAnsi="Times New Roman"/>
          <w:b/>
          <w:bCs/>
          <w:szCs w:val="20"/>
          <w:lang w:eastAsia="zh-CN"/>
        </w:rPr>
        <w:t xml:space="preserve"> UE stores the reference configuration as a separate configuration.</w:t>
      </w:r>
    </w:p>
    <w:p w14:paraId="761BF66E" w14:textId="74F82DF2" w:rsidR="00602C6E" w:rsidRPr="00602C6E" w:rsidRDefault="00602C6E" w:rsidP="00602C6E">
      <w:pPr>
        <w:pStyle w:val="Doc-text2"/>
        <w:ind w:left="0" w:firstLine="0"/>
        <w:rPr>
          <w:rFonts w:ascii="Times New Roman" w:hAnsi="Times New Roman"/>
          <w:b/>
          <w:bCs/>
          <w:szCs w:val="20"/>
          <w:lang w:eastAsia="zh-CN"/>
        </w:rPr>
      </w:pPr>
      <w:r w:rsidRPr="00602C6E">
        <w:rPr>
          <w:rFonts w:ascii="Times New Roman" w:hAnsi="Times New Roman" w:hint="eastAsia"/>
          <w:b/>
          <w:bCs/>
          <w:szCs w:val="20"/>
          <w:lang w:eastAsia="zh-CN"/>
        </w:rPr>
        <w:t>P</w:t>
      </w:r>
      <w:r w:rsidRPr="00602C6E">
        <w:rPr>
          <w:rFonts w:ascii="Times New Roman" w:hAnsi="Times New Roman"/>
          <w:b/>
          <w:bCs/>
          <w:szCs w:val="20"/>
          <w:lang w:eastAsia="zh-CN"/>
        </w:rPr>
        <w:t>roposal</w:t>
      </w:r>
      <w:r w:rsidR="00DB7AF1">
        <w:rPr>
          <w:rFonts w:ascii="Times New Roman" w:hAnsi="Times New Roman"/>
          <w:b/>
          <w:bCs/>
          <w:szCs w:val="20"/>
          <w:lang w:eastAsia="zh-CN"/>
        </w:rPr>
        <w:t xml:space="preserve"> </w:t>
      </w:r>
      <w:r w:rsidR="006E67AC">
        <w:rPr>
          <w:rFonts w:ascii="Times New Roman" w:hAnsi="Times New Roman"/>
          <w:b/>
          <w:bCs/>
          <w:szCs w:val="20"/>
          <w:lang w:eastAsia="zh-CN"/>
        </w:rPr>
        <w:t>4</w:t>
      </w:r>
      <w:r w:rsidRPr="00602C6E">
        <w:rPr>
          <w:rFonts w:ascii="Times New Roman" w:hAnsi="Times New Roman"/>
          <w:b/>
          <w:bCs/>
          <w:szCs w:val="20"/>
          <w:lang w:eastAsia="zh-CN"/>
        </w:rPr>
        <w:t xml:space="preserve">: The compliance </w:t>
      </w:r>
      <w:r w:rsidR="00DB7AF1">
        <w:rPr>
          <w:rFonts w:ascii="Times New Roman" w:hAnsi="Times New Roman"/>
          <w:b/>
          <w:bCs/>
          <w:szCs w:val="20"/>
          <w:lang w:eastAsia="zh-CN"/>
        </w:rPr>
        <w:t>check</w:t>
      </w:r>
      <w:r w:rsidR="00732767">
        <w:rPr>
          <w:rFonts w:ascii="Times New Roman" w:hAnsi="Times New Roman"/>
          <w:b/>
          <w:bCs/>
          <w:szCs w:val="20"/>
          <w:lang w:eastAsia="zh-CN"/>
        </w:rPr>
        <w:t xml:space="preserve"> should include </w:t>
      </w:r>
      <w:r w:rsidRPr="00602C6E">
        <w:rPr>
          <w:rFonts w:ascii="Times New Roman" w:hAnsi="Times New Roman"/>
          <w:b/>
          <w:bCs/>
          <w:szCs w:val="20"/>
          <w:lang w:eastAsia="zh-CN"/>
        </w:rPr>
        <w:t xml:space="preserve">the </w:t>
      </w:r>
      <w:r w:rsidR="00A0085E">
        <w:rPr>
          <w:rFonts w:ascii="Times New Roman" w:hAnsi="Times New Roman"/>
          <w:b/>
          <w:bCs/>
          <w:szCs w:val="20"/>
          <w:lang w:eastAsia="zh-CN"/>
        </w:rPr>
        <w:t>reference</w:t>
      </w:r>
      <w:r w:rsidRPr="00602C6E">
        <w:rPr>
          <w:rFonts w:ascii="Times New Roman" w:hAnsi="Times New Roman"/>
          <w:b/>
          <w:bCs/>
          <w:szCs w:val="20"/>
          <w:lang w:eastAsia="zh-CN"/>
        </w:rPr>
        <w:t xml:space="preserve"> configuration</w:t>
      </w:r>
      <w:r w:rsidR="00732767">
        <w:rPr>
          <w:rFonts w:ascii="Times New Roman" w:hAnsi="Times New Roman"/>
          <w:b/>
          <w:bCs/>
          <w:szCs w:val="20"/>
          <w:lang w:eastAsia="zh-CN"/>
        </w:rPr>
        <w:t xml:space="preserve"> for LTM operation, which is stored by UE separately</w:t>
      </w:r>
      <w:r w:rsidR="00DB7AF1">
        <w:rPr>
          <w:rFonts w:ascii="Times New Roman" w:hAnsi="Times New Roman"/>
          <w:b/>
          <w:bCs/>
          <w:szCs w:val="20"/>
          <w:lang w:eastAsia="zh-CN"/>
        </w:rPr>
        <w:t>.</w:t>
      </w:r>
    </w:p>
    <w:p w14:paraId="165D0BA7" w14:textId="10904BCA" w:rsidR="00800ADE" w:rsidRDefault="005C17F1" w:rsidP="00676155">
      <w:pPr>
        <w:spacing w:beforeLines="50" w:before="156" w:afterLines="50" w:after="156"/>
        <w:rPr>
          <w:rFonts w:ascii="Times New Roman" w:eastAsiaTheme="minorEastAsia" w:hAnsi="Times New Roman"/>
          <w:b/>
          <w:bCs/>
          <w:szCs w:val="20"/>
        </w:rPr>
      </w:pPr>
      <w:r w:rsidRPr="00E82F8E">
        <w:rPr>
          <w:rFonts w:ascii="Times New Roman" w:hAnsi="Times New Roman"/>
        </w:rPr>
        <w:t>In traditional handover or condition</w:t>
      </w:r>
      <w:r w:rsidR="00A86D5F" w:rsidRPr="00E82F8E">
        <w:rPr>
          <w:rFonts w:ascii="Times New Roman" w:hAnsi="Times New Roman"/>
        </w:rPr>
        <w:t>-</w:t>
      </w:r>
      <w:r w:rsidRPr="00E82F8E">
        <w:rPr>
          <w:rFonts w:ascii="Times New Roman" w:hAnsi="Times New Roman"/>
        </w:rPr>
        <w:t xml:space="preserve">based </w:t>
      </w:r>
      <w:r w:rsidR="00A86D5F" w:rsidRPr="00E82F8E">
        <w:rPr>
          <w:rFonts w:ascii="Times New Roman" w:hAnsi="Times New Roman"/>
        </w:rPr>
        <w:t>handover</w:t>
      </w:r>
      <w:r w:rsidRPr="00E82F8E">
        <w:rPr>
          <w:rFonts w:ascii="Times New Roman" w:hAnsi="Times New Roman"/>
        </w:rPr>
        <w:t>,</w:t>
      </w:r>
      <w:r w:rsidR="00A86D5F" w:rsidRPr="00E82F8E">
        <w:rPr>
          <w:rFonts w:ascii="Times New Roman" w:hAnsi="Times New Roman"/>
        </w:rPr>
        <w:t xml:space="preserve"> UE will perform </w:t>
      </w:r>
      <w:r w:rsidR="00676155">
        <w:rPr>
          <w:rFonts w:ascii="Times New Roman" w:hAnsi="Times New Roman"/>
        </w:rPr>
        <w:t>recovery procedure</w:t>
      </w:r>
      <w:r w:rsidR="00A86D5F" w:rsidRPr="00E82F8E">
        <w:rPr>
          <w:rFonts w:ascii="Times New Roman" w:hAnsi="Times New Roman"/>
        </w:rPr>
        <w:t xml:space="preserve"> when compliance check failure happens. Regarding </w:t>
      </w:r>
      <w:r w:rsidR="004C7DF8" w:rsidRPr="00E82F8E">
        <w:rPr>
          <w:rFonts w:ascii="Times New Roman" w:hAnsi="Times New Roman"/>
        </w:rPr>
        <w:t>LTM</w:t>
      </w:r>
      <w:r w:rsidR="00151B43" w:rsidRPr="00E82F8E">
        <w:rPr>
          <w:rFonts w:ascii="Times New Roman" w:hAnsi="Times New Roman"/>
        </w:rPr>
        <w:t xml:space="preserve">, UE also can </w:t>
      </w:r>
      <w:r w:rsidR="00676155">
        <w:rPr>
          <w:rFonts w:ascii="Times New Roman" w:hAnsi="Times New Roman"/>
        </w:rPr>
        <w:t>consider reconfiguration</w:t>
      </w:r>
      <w:r w:rsidR="00151B43" w:rsidRPr="00E82F8E">
        <w:rPr>
          <w:rFonts w:ascii="Times New Roman" w:hAnsi="Times New Roman"/>
        </w:rPr>
        <w:t xml:space="preserve"> failure and </w:t>
      </w:r>
      <w:r w:rsidR="00E82F8E" w:rsidRPr="00E82F8E">
        <w:rPr>
          <w:rFonts w:ascii="Times New Roman" w:hAnsi="Times New Roman"/>
        </w:rPr>
        <w:t xml:space="preserve">perform recovery procedure once </w:t>
      </w:r>
      <w:r w:rsidR="00151B43" w:rsidRPr="00E82F8E">
        <w:rPr>
          <w:rFonts w:ascii="Times New Roman" w:eastAsiaTheme="minorEastAsia" w:hAnsi="Times New Roman"/>
        </w:rPr>
        <w:t>the f</w:t>
      </w:r>
      <w:r w:rsidR="00151B43" w:rsidRPr="005C6B90">
        <w:rPr>
          <w:rFonts w:ascii="Times New Roman" w:hAnsi="Times New Roman"/>
        </w:rPr>
        <w:t>ailure of compliance check</w:t>
      </w:r>
      <w:r w:rsidR="00E82F8E" w:rsidRPr="005C6B90">
        <w:rPr>
          <w:rFonts w:ascii="Times New Roman" w:hAnsi="Times New Roman"/>
        </w:rPr>
        <w:t xml:space="preserve"> happens. More specification, if candidate cell is </w:t>
      </w:r>
      <w:proofErr w:type="spellStart"/>
      <w:r w:rsidR="00E82F8E" w:rsidRPr="005C6B90">
        <w:rPr>
          <w:rFonts w:ascii="Times New Roman" w:hAnsi="Times New Roman"/>
        </w:rPr>
        <w:t>PCell</w:t>
      </w:r>
      <w:proofErr w:type="spellEnd"/>
      <w:r w:rsidR="00E82F8E" w:rsidRPr="005C6B90">
        <w:rPr>
          <w:rFonts w:ascii="Times New Roman" w:hAnsi="Times New Roman"/>
        </w:rPr>
        <w:t xml:space="preserve">, UE </w:t>
      </w:r>
      <w:r w:rsidR="00676155" w:rsidRPr="005C6B90">
        <w:rPr>
          <w:rFonts w:ascii="Times New Roman" w:hAnsi="Times New Roman"/>
        </w:rPr>
        <w:t>will perform</w:t>
      </w:r>
      <w:r w:rsidR="003278FC" w:rsidRPr="005C6B90">
        <w:rPr>
          <w:rFonts w:ascii="Times New Roman" w:hAnsi="Times New Roman"/>
        </w:rPr>
        <w:t xml:space="preserve"> re</w:t>
      </w:r>
      <w:r w:rsidR="00676155" w:rsidRPr="005C6B90">
        <w:rPr>
          <w:rFonts w:ascii="Times New Roman" w:hAnsi="Times New Roman"/>
        </w:rPr>
        <w:t>-</w:t>
      </w:r>
      <w:r w:rsidR="00676155" w:rsidRPr="005C6B90">
        <w:rPr>
          <w:rFonts w:ascii="Times New Roman" w:hAnsi="Times New Roman"/>
        </w:rPr>
        <w:lastRenderedPageBreak/>
        <w:t xml:space="preserve">establishment procedure. If candidate cell is PSCell, UE will perform SCG failure information procedure. On the contrary, </w:t>
      </w:r>
      <w:r w:rsidR="005C6B90">
        <w:rPr>
          <w:rFonts w:ascii="Times New Roman" w:hAnsi="Times New Roman"/>
        </w:rPr>
        <w:t xml:space="preserve">UE also can </w:t>
      </w:r>
      <w:r w:rsidR="005C6B90" w:rsidRPr="005C6B90">
        <w:rPr>
          <w:rFonts w:ascii="Times New Roman" w:hAnsi="Times New Roman"/>
        </w:rPr>
        <w:t>report compliance check failure to source serving cell</w:t>
      </w:r>
      <w:r w:rsidR="005C6B90">
        <w:rPr>
          <w:rFonts w:ascii="Times New Roman" w:hAnsi="Times New Roman"/>
        </w:rPr>
        <w:t xml:space="preserve"> instead of triggering recovery procedure</w:t>
      </w:r>
      <w:r w:rsidR="005C6B90" w:rsidRPr="005C6B90">
        <w:rPr>
          <w:rFonts w:ascii="Times New Roman" w:hAnsi="Times New Roman"/>
        </w:rPr>
        <w:t>. Then, the source cell may reconfigure/release the corresponding candidate cell.</w:t>
      </w:r>
    </w:p>
    <w:p w14:paraId="41A86766" w14:textId="70079AA4" w:rsidR="00E62E22" w:rsidRDefault="00800ADE" w:rsidP="002C3EB6">
      <w:pPr>
        <w:pStyle w:val="Doc-text2"/>
        <w:ind w:left="0" w:firstLine="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P</w:t>
      </w:r>
      <w:r>
        <w:rPr>
          <w:rFonts w:ascii="Times New Roman" w:eastAsiaTheme="minorEastAsia" w:hAnsi="Times New Roman"/>
          <w:b/>
          <w:bCs/>
          <w:szCs w:val="20"/>
          <w:lang w:eastAsia="zh-CN"/>
        </w:rPr>
        <w:t xml:space="preserve">roposal </w:t>
      </w:r>
      <w:r w:rsidR="006E67AC">
        <w:rPr>
          <w:rFonts w:ascii="Times New Roman" w:eastAsiaTheme="minorEastAsia" w:hAnsi="Times New Roman"/>
          <w:b/>
          <w:bCs/>
          <w:szCs w:val="20"/>
          <w:lang w:eastAsia="zh-CN"/>
        </w:rPr>
        <w:t>5</w:t>
      </w:r>
      <w:r>
        <w:rPr>
          <w:rFonts w:ascii="Times New Roman" w:eastAsiaTheme="minorEastAsia" w:hAnsi="Times New Roman"/>
          <w:b/>
          <w:bCs/>
          <w:szCs w:val="20"/>
          <w:lang w:eastAsia="zh-CN"/>
        </w:rPr>
        <w:t xml:space="preserve">: </w:t>
      </w:r>
      <w:r w:rsidR="00927AF8">
        <w:rPr>
          <w:rFonts w:ascii="Times New Roman" w:eastAsiaTheme="minorEastAsia" w:hAnsi="Times New Roman"/>
          <w:b/>
          <w:bCs/>
          <w:szCs w:val="20"/>
          <w:lang w:eastAsia="zh-CN"/>
        </w:rPr>
        <w:t xml:space="preserve">RAN2 to discuss </w:t>
      </w:r>
      <w:r w:rsidR="00730E2B">
        <w:rPr>
          <w:rFonts w:ascii="Times New Roman" w:eastAsiaTheme="minorEastAsia" w:hAnsi="Times New Roman"/>
          <w:b/>
          <w:bCs/>
          <w:szCs w:val="20"/>
          <w:lang w:eastAsia="zh-CN"/>
        </w:rPr>
        <w:t xml:space="preserve">which option should be supported </w:t>
      </w:r>
      <w:r w:rsidR="005C6B90">
        <w:rPr>
          <w:rFonts w:ascii="Times New Roman" w:eastAsiaTheme="minorEastAsia" w:hAnsi="Times New Roman"/>
          <w:b/>
          <w:bCs/>
          <w:szCs w:val="20"/>
          <w:lang w:eastAsia="zh-CN"/>
        </w:rPr>
        <w:t xml:space="preserve">upon compliance check failure </w:t>
      </w:r>
      <w:r w:rsidR="00B07FED">
        <w:rPr>
          <w:rFonts w:ascii="Times New Roman" w:eastAsiaTheme="minorEastAsia" w:hAnsi="Times New Roman"/>
          <w:b/>
          <w:bCs/>
          <w:szCs w:val="20"/>
          <w:lang w:eastAsia="zh-CN"/>
        </w:rPr>
        <w:t xml:space="preserve">for the case that candidate cell is </w:t>
      </w:r>
      <w:proofErr w:type="spellStart"/>
      <w:r w:rsidR="00B07FED">
        <w:rPr>
          <w:rFonts w:ascii="Times New Roman" w:eastAsiaTheme="minorEastAsia" w:hAnsi="Times New Roman"/>
          <w:b/>
          <w:bCs/>
          <w:szCs w:val="20"/>
          <w:lang w:eastAsia="zh-CN"/>
        </w:rPr>
        <w:t>PCell</w:t>
      </w:r>
      <w:proofErr w:type="spellEnd"/>
      <w:r w:rsidR="00B07FED">
        <w:rPr>
          <w:rFonts w:ascii="Times New Roman" w:eastAsiaTheme="minorEastAsia" w:hAnsi="Times New Roman"/>
          <w:b/>
          <w:bCs/>
          <w:szCs w:val="20"/>
          <w:lang w:eastAsia="zh-CN"/>
        </w:rPr>
        <w:t xml:space="preserve"> or PSCell.</w:t>
      </w:r>
    </w:p>
    <w:p w14:paraId="10E5C71A" w14:textId="7346E3BC" w:rsidR="00800ADE" w:rsidRDefault="00E62E22" w:rsidP="00567206">
      <w:pPr>
        <w:pStyle w:val="Doc-text2"/>
        <w:numPr>
          <w:ilvl w:val="0"/>
          <w:numId w:val="19"/>
        </w:numPr>
        <w:ind w:left="426"/>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Option 1: </w:t>
      </w:r>
      <w:r w:rsidR="00444203">
        <w:rPr>
          <w:rFonts w:ascii="Times New Roman" w:eastAsiaTheme="minorEastAsia" w:hAnsi="Times New Roman"/>
          <w:b/>
          <w:bCs/>
          <w:szCs w:val="20"/>
          <w:lang w:eastAsia="zh-CN"/>
        </w:rPr>
        <w:t xml:space="preserve">UE </w:t>
      </w:r>
      <w:r w:rsidR="002B59BC">
        <w:rPr>
          <w:rFonts w:ascii="Times New Roman" w:eastAsiaTheme="minorEastAsia" w:hAnsi="Times New Roman"/>
          <w:b/>
          <w:bCs/>
          <w:szCs w:val="20"/>
          <w:lang w:eastAsia="zh-CN"/>
        </w:rPr>
        <w:t>perform</w:t>
      </w:r>
      <w:r w:rsidR="005C6B90">
        <w:rPr>
          <w:rFonts w:ascii="Times New Roman" w:eastAsiaTheme="minorEastAsia" w:hAnsi="Times New Roman"/>
          <w:b/>
          <w:bCs/>
          <w:szCs w:val="20"/>
          <w:lang w:eastAsia="zh-CN"/>
        </w:rPr>
        <w:t>s</w:t>
      </w:r>
      <w:r w:rsidR="002B59BC">
        <w:rPr>
          <w:rFonts w:ascii="Times New Roman" w:eastAsiaTheme="minorEastAsia" w:hAnsi="Times New Roman"/>
          <w:b/>
          <w:bCs/>
          <w:szCs w:val="20"/>
          <w:lang w:eastAsia="zh-CN"/>
        </w:rPr>
        <w:t xml:space="preserve"> recovery procedure</w:t>
      </w:r>
      <w:r w:rsidR="00444203">
        <w:rPr>
          <w:rFonts w:ascii="Times New Roman" w:eastAsiaTheme="minorEastAsia" w:hAnsi="Times New Roman"/>
          <w:b/>
          <w:bCs/>
          <w:szCs w:val="20"/>
          <w:lang w:eastAsia="zh-CN"/>
        </w:rPr>
        <w:t xml:space="preserve"> </w:t>
      </w:r>
      <w:r w:rsidR="00B07FED">
        <w:rPr>
          <w:rFonts w:ascii="Times New Roman" w:eastAsiaTheme="minorEastAsia" w:hAnsi="Times New Roman"/>
          <w:b/>
          <w:bCs/>
          <w:szCs w:val="20"/>
          <w:lang w:eastAsia="zh-CN"/>
        </w:rPr>
        <w:t>upon</w:t>
      </w:r>
      <w:r w:rsidR="00444203">
        <w:rPr>
          <w:rFonts w:ascii="Times New Roman" w:eastAsiaTheme="minorEastAsia" w:hAnsi="Times New Roman"/>
          <w:b/>
          <w:bCs/>
          <w:szCs w:val="20"/>
          <w:lang w:eastAsia="zh-CN"/>
        </w:rPr>
        <w:t xml:space="preserve"> </w:t>
      </w:r>
      <w:r w:rsidR="002B59BC">
        <w:rPr>
          <w:rFonts w:ascii="Times New Roman" w:eastAsiaTheme="minorEastAsia" w:hAnsi="Times New Roman"/>
          <w:b/>
          <w:bCs/>
          <w:szCs w:val="20"/>
          <w:lang w:eastAsia="zh-CN"/>
        </w:rPr>
        <w:t>compliance check fail</w:t>
      </w:r>
      <w:r w:rsidR="00B07FED">
        <w:rPr>
          <w:rFonts w:ascii="Times New Roman" w:eastAsiaTheme="minorEastAsia" w:hAnsi="Times New Roman"/>
          <w:b/>
          <w:bCs/>
          <w:szCs w:val="20"/>
          <w:lang w:eastAsia="zh-CN"/>
        </w:rPr>
        <w:t>ure</w:t>
      </w:r>
      <w:r w:rsidR="002B59BC">
        <w:rPr>
          <w:rFonts w:ascii="Times New Roman" w:eastAsiaTheme="minorEastAsia" w:hAnsi="Times New Roman"/>
          <w:b/>
          <w:bCs/>
          <w:szCs w:val="20"/>
          <w:lang w:eastAsia="zh-CN"/>
        </w:rPr>
        <w:t>.</w:t>
      </w:r>
      <w:r w:rsidR="003A792F">
        <w:rPr>
          <w:rFonts w:ascii="Times New Roman" w:eastAsiaTheme="minorEastAsia" w:hAnsi="Times New Roman"/>
          <w:b/>
          <w:bCs/>
          <w:szCs w:val="20"/>
          <w:lang w:eastAsia="zh-CN"/>
        </w:rPr>
        <w:t xml:space="preserve"> Re-establishment or </w:t>
      </w:r>
      <w:proofErr w:type="spellStart"/>
      <w:r w:rsidR="003A792F">
        <w:rPr>
          <w:rFonts w:ascii="Times New Roman" w:eastAsiaTheme="minorEastAsia" w:hAnsi="Times New Roman"/>
          <w:b/>
          <w:bCs/>
          <w:szCs w:val="20"/>
          <w:lang w:eastAsia="zh-CN"/>
        </w:rPr>
        <w:t>SCGfailureinformation</w:t>
      </w:r>
      <w:proofErr w:type="spellEnd"/>
      <w:r w:rsidR="003A792F">
        <w:rPr>
          <w:rFonts w:ascii="Times New Roman" w:eastAsiaTheme="minorEastAsia" w:hAnsi="Times New Roman"/>
          <w:b/>
          <w:bCs/>
          <w:szCs w:val="20"/>
          <w:lang w:eastAsia="zh-CN"/>
        </w:rPr>
        <w:t xml:space="preserve"> will be triggered for candidate </w:t>
      </w:r>
      <w:proofErr w:type="spellStart"/>
      <w:r w:rsidR="003A792F">
        <w:rPr>
          <w:rFonts w:ascii="Times New Roman" w:eastAsiaTheme="minorEastAsia" w:hAnsi="Times New Roman"/>
          <w:b/>
          <w:bCs/>
          <w:szCs w:val="20"/>
          <w:lang w:eastAsia="zh-CN"/>
        </w:rPr>
        <w:t>PCell</w:t>
      </w:r>
      <w:proofErr w:type="spellEnd"/>
      <w:r w:rsidR="003A792F">
        <w:rPr>
          <w:rFonts w:ascii="Times New Roman" w:eastAsiaTheme="minorEastAsia" w:hAnsi="Times New Roman"/>
          <w:b/>
          <w:bCs/>
          <w:szCs w:val="20"/>
          <w:lang w:eastAsia="zh-CN"/>
        </w:rPr>
        <w:t xml:space="preserve"> or candidate PSCell, respectively. </w:t>
      </w:r>
    </w:p>
    <w:p w14:paraId="66E63B8A" w14:textId="1E35F3EB" w:rsidR="00E62E22" w:rsidRDefault="00E62E22" w:rsidP="00567206">
      <w:pPr>
        <w:pStyle w:val="Doc-text2"/>
        <w:numPr>
          <w:ilvl w:val="0"/>
          <w:numId w:val="19"/>
        </w:numPr>
        <w:ind w:left="426"/>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O</w:t>
      </w:r>
      <w:r>
        <w:rPr>
          <w:rFonts w:ascii="Times New Roman" w:eastAsiaTheme="minorEastAsia" w:hAnsi="Times New Roman"/>
          <w:b/>
          <w:bCs/>
          <w:szCs w:val="20"/>
          <w:lang w:eastAsia="zh-CN"/>
        </w:rPr>
        <w:t>ption 2: UE reports compliance check failure to source serving cell. Then, the source cell may reconfigure</w:t>
      </w:r>
      <w:r w:rsidR="00730E2B">
        <w:rPr>
          <w:rFonts w:ascii="Times New Roman" w:eastAsiaTheme="minorEastAsia" w:hAnsi="Times New Roman"/>
          <w:b/>
          <w:bCs/>
          <w:szCs w:val="20"/>
          <w:lang w:eastAsia="zh-CN"/>
        </w:rPr>
        <w:t>/release the corresponding candidate cell.</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699FC641" w14:textId="31859663" w:rsidR="00273F33" w:rsidRPr="00273F33" w:rsidRDefault="00273F33" w:rsidP="001921B4">
      <w:pPr>
        <w:spacing w:beforeLines="50" w:before="156" w:afterLines="50" w:after="156"/>
        <w:rPr>
          <w:rFonts w:ascii="Times New Roman" w:hAnsi="Times New Roman"/>
          <w:b/>
          <w:bCs/>
          <w:szCs w:val="21"/>
          <w:u w:val="single"/>
          <w:lang w:val="x-none" w:eastAsia="x-none"/>
        </w:rPr>
      </w:pPr>
      <w:r w:rsidRPr="00273F33">
        <w:rPr>
          <w:rFonts w:ascii="Times New Roman" w:hAnsi="Times New Roman"/>
          <w:b/>
          <w:bCs/>
          <w:szCs w:val="21"/>
          <w:u w:val="single"/>
          <w:lang w:val="x-none" w:eastAsia="x-none"/>
        </w:rPr>
        <w:t>Reference configuration for LTM configuration</w:t>
      </w:r>
    </w:p>
    <w:p w14:paraId="0614EFF1" w14:textId="336C2A9F" w:rsidR="00CE01AD" w:rsidRDefault="00273F33" w:rsidP="00CE01AD">
      <w:pPr>
        <w:pStyle w:val="Doc-text2"/>
        <w:ind w:left="0" w:firstLine="0"/>
        <w:rPr>
          <w:rFonts w:ascii="Times New Roman" w:hAnsi="Times New Roman"/>
          <w:b/>
          <w:bCs/>
        </w:rPr>
      </w:pPr>
      <w:r w:rsidRPr="002B08AE">
        <w:rPr>
          <w:rFonts w:ascii="Times New Roman" w:hAnsi="Times New Roman"/>
          <w:b/>
          <w:bCs/>
        </w:rPr>
        <w:t xml:space="preserve">Observation 1: In legacy cell switch, the source cell configuration is taken as the reference for delta configuration. In case of inter-DU cell switch, CU provides the source cell configuration to target DU via the </w:t>
      </w:r>
      <w:proofErr w:type="spellStart"/>
      <w:r w:rsidRPr="002B08AE">
        <w:rPr>
          <w:rFonts w:ascii="Times New Roman" w:hAnsi="Times New Roman"/>
          <w:b/>
          <w:bCs/>
          <w:i/>
          <w:iCs/>
        </w:rPr>
        <w:t>HandoverPreparationInformation</w:t>
      </w:r>
      <w:proofErr w:type="spellEnd"/>
      <w:r w:rsidRPr="002B08AE">
        <w:rPr>
          <w:rFonts w:ascii="Times New Roman" w:hAnsi="Times New Roman"/>
          <w:b/>
          <w:bCs/>
        </w:rPr>
        <w:t xml:space="preserve"> message.</w:t>
      </w:r>
    </w:p>
    <w:p w14:paraId="16B7806E" w14:textId="77777777" w:rsidR="00273F33" w:rsidRDefault="00273F33" w:rsidP="00273F33">
      <w:pPr>
        <w:spacing w:beforeLines="50" w:before="156" w:afterLines="50" w:after="156"/>
        <w:rPr>
          <w:rFonts w:ascii="Times New Roman" w:hAnsi="Times New Roman"/>
          <w:b/>
          <w:bCs/>
        </w:rPr>
      </w:pPr>
      <w:r w:rsidRPr="00070A8C">
        <w:rPr>
          <w:rFonts w:ascii="Times New Roman" w:hAnsi="Times New Roman"/>
          <w:b/>
          <w:bCs/>
        </w:rPr>
        <w:t>Proposal 1</w:t>
      </w:r>
      <w:r w:rsidRPr="00070A8C">
        <w:rPr>
          <w:rFonts w:ascii="Times New Roman" w:hAnsi="Times New Roman"/>
          <w:b/>
          <w:bCs/>
        </w:rPr>
        <w:tab/>
      </w:r>
      <w:r>
        <w:rPr>
          <w:rFonts w:ascii="Times New Roman" w:hAnsi="Times New Roman"/>
          <w:b/>
          <w:bCs/>
        </w:rPr>
        <w:t>T</w:t>
      </w:r>
      <w:r w:rsidRPr="00070A8C">
        <w:rPr>
          <w:rFonts w:ascii="Times New Roman" w:hAnsi="Times New Roman"/>
          <w:b/>
          <w:bCs/>
        </w:rPr>
        <w:t xml:space="preserve">he initial source </w:t>
      </w:r>
      <w:r>
        <w:rPr>
          <w:rFonts w:ascii="Times New Roman" w:hAnsi="Times New Roman"/>
          <w:b/>
          <w:bCs/>
        </w:rPr>
        <w:t>cell</w:t>
      </w:r>
      <w:r w:rsidRPr="00070A8C">
        <w:rPr>
          <w:rFonts w:ascii="Times New Roman" w:hAnsi="Times New Roman"/>
          <w:b/>
          <w:bCs/>
        </w:rPr>
        <w:t xml:space="preserve"> configuration (when UE is configured with </w:t>
      </w:r>
      <w:r>
        <w:rPr>
          <w:rFonts w:ascii="Times New Roman" w:hAnsi="Times New Roman"/>
          <w:b/>
          <w:bCs/>
        </w:rPr>
        <w:t>LTM</w:t>
      </w:r>
      <w:r w:rsidRPr="00070A8C">
        <w:rPr>
          <w:rFonts w:ascii="Times New Roman" w:hAnsi="Times New Roman"/>
          <w:b/>
          <w:bCs/>
        </w:rPr>
        <w:t xml:space="preserve"> at the first place) can be taken as the reference for </w:t>
      </w:r>
      <w:r>
        <w:rPr>
          <w:rFonts w:ascii="Times New Roman" w:hAnsi="Times New Roman"/>
          <w:b/>
          <w:bCs/>
        </w:rPr>
        <w:t>LTM</w:t>
      </w:r>
      <w:r w:rsidRPr="00070A8C">
        <w:rPr>
          <w:rFonts w:ascii="Times New Roman" w:hAnsi="Times New Roman"/>
          <w:b/>
          <w:bCs/>
        </w:rPr>
        <w:t xml:space="preserve"> configuration and the subsequent </w:t>
      </w:r>
      <w:r>
        <w:rPr>
          <w:rFonts w:ascii="Times New Roman" w:hAnsi="Times New Roman"/>
          <w:b/>
          <w:bCs/>
        </w:rPr>
        <w:t>cell switch</w:t>
      </w:r>
      <w:r w:rsidRPr="00070A8C">
        <w:rPr>
          <w:rFonts w:ascii="Times New Roman" w:hAnsi="Times New Roman"/>
          <w:b/>
          <w:bCs/>
        </w:rPr>
        <w:t xml:space="preserve">. NW does not need to provide </w:t>
      </w:r>
      <w:r>
        <w:rPr>
          <w:rFonts w:ascii="Times New Roman" w:hAnsi="Times New Roman"/>
          <w:b/>
          <w:bCs/>
        </w:rPr>
        <w:t xml:space="preserve">a separate set of </w:t>
      </w:r>
      <w:r w:rsidRPr="00070A8C">
        <w:rPr>
          <w:rFonts w:ascii="Times New Roman" w:hAnsi="Times New Roman"/>
          <w:b/>
          <w:bCs/>
        </w:rPr>
        <w:t xml:space="preserve">reference configuration to UE when configuring </w:t>
      </w:r>
      <w:r>
        <w:rPr>
          <w:rFonts w:ascii="Times New Roman" w:hAnsi="Times New Roman"/>
          <w:b/>
          <w:bCs/>
        </w:rPr>
        <w:t>LTM</w:t>
      </w:r>
      <w:r w:rsidRPr="00070A8C">
        <w:rPr>
          <w:rFonts w:ascii="Times New Roman" w:hAnsi="Times New Roman"/>
          <w:b/>
          <w:bCs/>
        </w:rPr>
        <w:t>.</w:t>
      </w:r>
    </w:p>
    <w:p w14:paraId="18C6B954" w14:textId="77777777" w:rsidR="00273F33" w:rsidRDefault="00273F33" w:rsidP="00273F33">
      <w:pPr>
        <w:spacing w:beforeLines="50" w:before="156" w:afterLines="50" w:after="156"/>
        <w:rPr>
          <w:rFonts w:ascii="Times New Roman" w:hAnsi="Times New Roman"/>
          <w:b/>
          <w:bCs/>
        </w:rPr>
      </w:pPr>
      <w:r>
        <w:rPr>
          <w:rFonts w:ascii="Times New Roman" w:hAnsi="Times New Roman"/>
          <w:b/>
          <w:bCs/>
        </w:rPr>
        <w:t>Proposal 2</w:t>
      </w:r>
      <w:r>
        <w:rPr>
          <w:rFonts w:ascii="Times New Roman" w:hAnsi="Times New Roman"/>
          <w:b/>
          <w:bCs/>
        </w:rPr>
        <w:tab/>
        <w:t xml:space="preserve">RAN2 further discusses the need for NW to generate a separate set of reference configuration different from </w:t>
      </w:r>
      <w:r w:rsidRPr="009F5DDF">
        <w:rPr>
          <w:rFonts w:ascii="Times New Roman" w:hAnsi="Times New Roman"/>
          <w:b/>
          <w:bCs/>
        </w:rPr>
        <w:t xml:space="preserve">initial source </w:t>
      </w:r>
      <w:r>
        <w:rPr>
          <w:rFonts w:ascii="Times New Roman" w:hAnsi="Times New Roman"/>
          <w:b/>
          <w:bCs/>
        </w:rPr>
        <w:t>cell</w:t>
      </w:r>
      <w:r w:rsidRPr="009F5DDF">
        <w:rPr>
          <w:rFonts w:ascii="Times New Roman" w:hAnsi="Times New Roman"/>
          <w:b/>
          <w:bCs/>
        </w:rPr>
        <w:t xml:space="preserve"> configuration</w:t>
      </w:r>
      <w:r>
        <w:rPr>
          <w:rFonts w:ascii="Times New Roman" w:hAnsi="Times New Roman"/>
          <w:b/>
          <w:bCs/>
        </w:rPr>
        <w:t xml:space="preserve"> for LTM configuration. </w:t>
      </w:r>
    </w:p>
    <w:p w14:paraId="5058242A" w14:textId="607049CE" w:rsidR="00273F33" w:rsidRPr="00273F33" w:rsidRDefault="00273F33" w:rsidP="00273F33">
      <w:pPr>
        <w:spacing w:beforeLines="50" w:before="156" w:afterLines="50" w:after="156"/>
        <w:rPr>
          <w:rFonts w:ascii="Times New Roman" w:hAnsi="Times New Roman"/>
          <w:b/>
          <w:bCs/>
          <w:szCs w:val="21"/>
          <w:u w:val="single"/>
        </w:rPr>
      </w:pPr>
      <w:r w:rsidRPr="00273F33">
        <w:rPr>
          <w:rFonts w:ascii="Times New Roman" w:hAnsi="Times New Roman"/>
          <w:b/>
          <w:bCs/>
          <w:szCs w:val="21"/>
          <w:u w:val="single"/>
          <w:lang w:val="x-none" w:eastAsia="x-none"/>
        </w:rPr>
        <w:t xml:space="preserve">Compliance check </w:t>
      </w:r>
      <w:r w:rsidRPr="00273F33">
        <w:rPr>
          <w:rFonts w:ascii="Times New Roman" w:hAnsi="Times New Roman"/>
          <w:b/>
          <w:bCs/>
          <w:szCs w:val="21"/>
          <w:u w:val="single"/>
        </w:rPr>
        <w:t>for</w:t>
      </w:r>
      <w:r w:rsidRPr="00273F33">
        <w:rPr>
          <w:rFonts w:ascii="Times New Roman" w:hAnsi="Times New Roman"/>
          <w:b/>
          <w:bCs/>
          <w:szCs w:val="21"/>
          <w:u w:val="single"/>
          <w:lang w:val="x-none" w:eastAsia="x-none"/>
        </w:rPr>
        <w:t xml:space="preserve"> LTM configuration</w:t>
      </w:r>
    </w:p>
    <w:p w14:paraId="665F6C6A" w14:textId="77777777" w:rsidR="00273F33" w:rsidRPr="002E421B" w:rsidRDefault="00273F33" w:rsidP="00273F33">
      <w:pPr>
        <w:pStyle w:val="Doc-text2"/>
        <w:ind w:left="0" w:firstLine="0"/>
        <w:rPr>
          <w:rFonts w:ascii="Times New Roman" w:hAnsi="Times New Roman"/>
          <w:b/>
          <w:bCs/>
          <w:szCs w:val="20"/>
          <w:lang w:eastAsia="zh-CN"/>
        </w:rPr>
      </w:pPr>
      <w:r>
        <w:rPr>
          <w:rFonts w:ascii="Times New Roman" w:hAnsi="Times New Roman"/>
          <w:b/>
          <w:bCs/>
          <w:szCs w:val="20"/>
          <w:lang w:eastAsia="zh-CN"/>
        </w:rPr>
        <w:t xml:space="preserve">Proposal 3: </w:t>
      </w:r>
      <w:r w:rsidRPr="00DB7AF1">
        <w:rPr>
          <w:rFonts w:ascii="Times New Roman" w:hAnsi="Times New Roman"/>
          <w:b/>
          <w:bCs/>
          <w:szCs w:val="20"/>
          <w:lang w:eastAsia="zh-CN"/>
        </w:rPr>
        <w:t>It is UE implementation to perform compliance check for LTM configuration upon reception of candidate cell configuration, performing early TA acquisition or executing cell switching</w:t>
      </w:r>
      <w:r w:rsidRPr="002E421B">
        <w:rPr>
          <w:rFonts w:ascii="Times New Roman" w:hAnsi="Times New Roman"/>
          <w:b/>
          <w:bCs/>
          <w:szCs w:val="20"/>
          <w:lang w:eastAsia="zh-CN"/>
        </w:rPr>
        <w:t>.</w:t>
      </w:r>
    </w:p>
    <w:p w14:paraId="25500400" w14:textId="77777777" w:rsidR="00273F33" w:rsidRDefault="00273F33" w:rsidP="00273F33">
      <w:pPr>
        <w:pStyle w:val="Doc-text2"/>
        <w:ind w:left="0" w:firstLine="0"/>
        <w:rPr>
          <w:rFonts w:ascii="Times New Roman" w:hAnsi="Times New Roman"/>
          <w:b/>
          <w:bCs/>
          <w:szCs w:val="20"/>
          <w:lang w:eastAsia="zh-CN"/>
        </w:rPr>
      </w:pPr>
      <w:r w:rsidRPr="005504D9">
        <w:rPr>
          <w:rFonts w:ascii="Times New Roman" w:hAnsi="Times New Roman" w:hint="eastAsia"/>
          <w:b/>
          <w:bCs/>
          <w:szCs w:val="20"/>
          <w:lang w:eastAsia="zh-CN"/>
        </w:rPr>
        <w:t>O</w:t>
      </w:r>
      <w:r w:rsidRPr="005504D9">
        <w:rPr>
          <w:rFonts w:ascii="Times New Roman" w:hAnsi="Times New Roman"/>
          <w:b/>
          <w:bCs/>
          <w:szCs w:val="20"/>
          <w:lang w:eastAsia="zh-CN"/>
        </w:rPr>
        <w:t xml:space="preserve">bservation </w:t>
      </w:r>
      <w:r>
        <w:rPr>
          <w:rFonts w:ascii="Times New Roman" w:hAnsi="Times New Roman"/>
          <w:b/>
          <w:bCs/>
          <w:szCs w:val="20"/>
          <w:lang w:eastAsia="zh-CN"/>
        </w:rPr>
        <w:t>2</w:t>
      </w:r>
      <w:r w:rsidRPr="005504D9">
        <w:rPr>
          <w:rFonts w:ascii="Times New Roman" w:hAnsi="Times New Roman"/>
          <w:b/>
          <w:bCs/>
          <w:szCs w:val="20"/>
          <w:lang w:eastAsia="zh-CN"/>
        </w:rPr>
        <w:t xml:space="preserve">: </w:t>
      </w:r>
      <w:r>
        <w:rPr>
          <w:rFonts w:ascii="Times New Roman" w:hAnsi="Times New Roman"/>
          <w:b/>
          <w:bCs/>
          <w:szCs w:val="20"/>
          <w:lang w:eastAsia="zh-CN"/>
        </w:rPr>
        <w:t>A</w:t>
      </w:r>
      <w:r w:rsidRPr="005504D9">
        <w:rPr>
          <w:rFonts w:ascii="Times New Roman" w:hAnsi="Times New Roman"/>
          <w:b/>
          <w:bCs/>
          <w:szCs w:val="20"/>
          <w:lang w:eastAsia="zh-CN"/>
        </w:rPr>
        <w:t xml:space="preserve"> UE stores the reference configuration as a separate configuration.</w:t>
      </w:r>
    </w:p>
    <w:p w14:paraId="09B62D2D" w14:textId="77777777" w:rsidR="00273F33" w:rsidRPr="00602C6E" w:rsidRDefault="00273F33" w:rsidP="00273F33">
      <w:pPr>
        <w:pStyle w:val="Doc-text2"/>
        <w:ind w:left="0" w:firstLine="0"/>
        <w:rPr>
          <w:rFonts w:ascii="Times New Roman" w:hAnsi="Times New Roman"/>
          <w:b/>
          <w:bCs/>
          <w:szCs w:val="20"/>
          <w:lang w:eastAsia="zh-CN"/>
        </w:rPr>
      </w:pPr>
      <w:r w:rsidRPr="00602C6E">
        <w:rPr>
          <w:rFonts w:ascii="Times New Roman" w:hAnsi="Times New Roman" w:hint="eastAsia"/>
          <w:b/>
          <w:bCs/>
          <w:szCs w:val="20"/>
          <w:lang w:eastAsia="zh-CN"/>
        </w:rPr>
        <w:t>P</w:t>
      </w:r>
      <w:r w:rsidRPr="00602C6E">
        <w:rPr>
          <w:rFonts w:ascii="Times New Roman" w:hAnsi="Times New Roman"/>
          <w:b/>
          <w:bCs/>
          <w:szCs w:val="20"/>
          <w:lang w:eastAsia="zh-CN"/>
        </w:rPr>
        <w:t>roposal</w:t>
      </w:r>
      <w:r>
        <w:rPr>
          <w:rFonts w:ascii="Times New Roman" w:hAnsi="Times New Roman"/>
          <w:b/>
          <w:bCs/>
          <w:szCs w:val="20"/>
          <w:lang w:eastAsia="zh-CN"/>
        </w:rPr>
        <w:t xml:space="preserve"> 4</w:t>
      </w:r>
      <w:r w:rsidRPr="00602C6E">
        <w:rPr>
          <w:rFonts w:ascii="Times New Roman" w:hAnsi="Times New Roman"/>
          <w:b/>
          <w:bCs/>
          <w:szCs w:val="20"/>
          <w:lang w:eastAsia="zh-CN"/>
        </w:rPr>
        <w:t xml:space="preserve">: The compliance </w:t>
      </w:r>
      <w:r>
        <w:rPr>
          <w:rFonts w:ascii="Times New Roman" w:hAnsi="Times New Roman"/>
          <w:b/>
          <w:bCs/>
          <w:szCs w:val="20"/>
          <w:lang w:eastAsia="zh-CN"/>
        </w:rPr>
        <w:t xml:space="preserve">check should include </w:t>
      </w:r>
      <w:r w:rsidRPr="00602C6E">
        <w:rPr>
          <w:rFonts w:ascii="Times New Roman" w:hAnsi="Times New Roman"/>
          <w:b/>
          <w:bCs/>
          <w:szCs w:val="20"/>
          <w:lang w:eastAsia="zh-CN"/>
        </w:rPr>
        <w:t xml:space="preserve">the </w:t>
      </w:r>
      <w:r>
        <w:rPr>
          <w:rFonts w:ascii="Times New Roman" w:hAnsi="Times New Roman"/>
          <w:b/>
          <w:bCs/>
          <w:szCs w:val="20"/>
          <w:lang w:eastAsia="zh-CN"/>
        </w:rPr>
        <w:t>reference</w:t>
      </w:r>
      <w:r w:rsidRPr="00602C6E">
        <w:rPr>
          <w:rFonts w:ascii="Times New Roman" w:hAnsi="Times New Roman"/>
          <w:b/>
          <w:bCs/>
          <w:szCs w:val="20"/>
          <w:lang w:eastAsia="zh-CN"/>
        </w:rPr>
        <w:t xml:space="preserve"> configuration</w:t>
      </w:r>
      <w:r>
        <w:rPr>
          <w:rFonts w:ascii="Times New Roman" w:hAnsi="Times New Roman"/>
          <w:b/>
          <w:bCs/>
          <w:szCs w:val="20"/>
          <w:lang w:eastAsia="zh-CN"/>
        </w:rPr>
        <w:t xml:space="preserve"> for LTM operation, which is stored by UE separately.</w:t>
      </w:r>
    </w:p>
    <w:p w14:paraId="62FD2239" w14:textId="77777777" w:rsidR="00273F33" w:rsidRDefault="00273F33" w:rsidP="00273F33">
      <w:pPr>
        <w:pStyle w:val="Doc-text2"/>
        <w:ind w:left="0" w:firstLine="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P</w:t>
      </w:r>
      <w:r>
        <w:rPr>
          <w:rFonts w:ascii="Times New Roman" w:eastAsiaTheme="minorEastAsia" w:hAnsi="Times New Roman"/>
          <w:b/>
          <w:bCs/>
          <w:szCs w:val="20"/>
          <w:lang w:eastAsia="zh-CN"/>
        </w:rPr>
        <w:t xml:space="preserve">roposal 5: RAN2 to discuss which option should be supported upon compliance check failure for the case that candidate cell is </w:t>
      </w:r>
      <w:proofErr w:type="spellStart"/>
      <w:r>
        <w:rPr>
          <w:rFonts w:ascii="Times New Roman" w:eastAsiaTheme="minorEastAsia" w:hAnsi="Times New Roman"/>
          <w:b/>
          <w:bCs/>
          <w:szCs w:val="20"/>
          <w:lang w:eastAsia="zh-CN"/>
        </w:rPr>
        <w:t>PCell</w:t>
      </w:r>
      <w:proofErr w:type="spellEnd"/>
      <w:r>
        <w:rPr>
          <w:rFonts w:ascii="Times New Roman" w:eastAsiaTheme="minorEastAsia" w:hAnsi="Times New Roman"/>
          <w:b/>
          <w:bCs/>
          <w:szCs w:val="20"/>
          <w:lang w:eastAsia="zh-CN"/>
        </w:rPr>
        <w:t xml:space="preserve"> or PSCell.</w:t>
      </w:r>
    </w:p>
    <w:p w14:paraId="2416D82C" w14:textId="77777777" w:rsidR="00273F33" w:rsidRDefault="00273F33" w:rsidP="00450B57">
      <w:pPr>
        <w:pStyle w:val="Doc-text2"/>
        <w:numPr>
          <w:ilvl w:val="0"/>
          <w:numId w:val="19"/>
        </w:numPr>
        <w:ind w:left="426"/>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Option 1: UE performs recovery procedure upon compliance check failure. Re-establishment or </w:t>
      </w:r>
      <w:proofErr w:type="spellStart"/>
      <w:r>
        <w:rPr>
          <w:rFonts w:ascii="Times New Roman" w:eastAsiaTheme="minorEastAsia" w:hAnsi="Times New Roman"/>
          <w:b/>
          <w:bCs/>
          <w:szCs w:val="20"/>
          <w:lang w:eastAsia="zh-CN"/>
        </w:rPr>
        <w:t>SCGfailureinformation</w:t>
      </w:r>
      <w:proofErr w:type="spellEnd"/>
      <w:r>
        <w:rPr>
          <w:rFonts w:ascii="Times New Roman" w:eastAsiaTheme="minorEastAsia" w:hAnsi="Times New Roman"/>
          <w:b/>
          <w:bCs/>
          <w:szCs w:val="20"/>
          <w:lang w:eastAsia="zh-CN"/>
        </w:rPr>
        <w:t xml:space="preserve"> will be triggered for candidate </w:t>
      </w:r>
      <w:proofErr w:type="spellStart"/>
      <w:r>
        <w:rPr>
          <w:rFonts w:ascii="Times New Roman" w:eastAsiaTheme="minorEastAsia" w:hAnsi="Times New Roman"/>
          <w:b/>
          <w:bCs/>
          <w:szCs w:val="20"/>
          <w:lang w:eastAsia="zh-CN"/>
        </w:rPr>
        <w:t>PCell</w:t>
      </w:r>
      <w:proofErr w:type="spellEnd"/>
      <w:r>
        <w:rPr>
          <w:rFonts w:ascii="Times New Roman" w:eastAsiaTheme="minorEastAsia" w:hAnsi="Times New Roman"/>
          <w:b/>
          <w:bCs/>
          <w:szCs w:val="20"/>
          <w:lang w:eastAsia="zh-CN"/>
        </w:rPr>
        <w:t xml:space="preserve"> or candidate PSCell, respectively. </w:t>
      </w:r>
    </w:p>
    <w:p w14:paraId="1B6FE64E" w14:textId="77777777" w:rsidR="00273F33" w:rsidRDefault="00273F33" w:rsidP="00450B57">
      <w:pPr>
        <w:pStyle w:val="Doc-text2"/>
        <w:numPr>
          <w:ilvl w:val="0"/>
          <w:numId w:val="19"/>
        </w:numPr>
        <w:ind w:left="426"/>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O</w:t>
      </w:r>
      <w:r>
        <w:rPr>
          <w:rFonts w:ascii="Times New Roman" w:eastAsiaTheme="minorEastAsia" w:hAnsi="Times New Roman"/>
          <w:b/>
          <w:bCs/>
          <w:szCs w:val="20"/>
          <w:lang w:eastAsia="zh-CN"/>
        </w:rPr>
        <w:t>ption 2: UE reports compliance check failure to source serving cell. Then, the source cell may reconfigure/release the corresponding candidate cell.</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2B30B6A6" w:rsidR="001921B4" w:rsidRPr="001921B4" w:rsidRDefault="00A0085E" w:rsidP="005A70C5">
      <w:pPr>
        <w:pStyle w:val="References"/>
      </w:pPr>
      <w:r>
        <w:t>RAN2 chairman notes for RAN2#12</w:t>
      </w:r>
      <w:r w:rsidR="00227B82">
        <w:t>1</w:t>
      </w:r>
      <w:r>
        <w:t>.</w:t>
      </w:r>
    </w:p>
    <w:sectPr w:rsidR="001921B4" w:rsidRPr="001921B4"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08566" w14:textId="77777777" w:rsidR="00171280" w:rsidRDefault="00171280">
      <w:r>
        <w:separator/>
      </w:r>
    </w:p>
  </w:endnote>
  <w:endnote w:type="continuationSeparator" w:id="0">
    <w:p w14:paraId="68262B36" w14:textId="77777777" w:rsidR="00171280" w:rsidRDefault="0017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267AD" w14:textId="77777777" w:rsidR="00171280" w:rsidRDefault="00171280">
      <w:r>
        <w:separator/>
      </w:r>
    </w:p>
  </w:footnote>
  <w:footnote w:type="continuationSeparator" w:id="0">
    <w:p w14:paraId="5814ADCC" w14:textId="77777777" w:rsidR="00171280" w:rsidRDefault="00171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326E4B"/>
    <w:multiLevelType w:val="hybridMultilevel"/>
    <w:tmpl w:val="ABF8B5FE"/>
    <w:lvl w:ilvl="0" w:tplc="91CA8D5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1876252"/>
    <w:multiLevelType w:val="hybridMultilevel"/>
    <w:tmpl w:val="09A2FF2C"/>
    <w:lvl w:ilvl="0" w:tplc="656C6B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E4522D"/>
    <w:multiLevelType w:val="hybridMultilevel"/>
    <w:tmpl w:val="B50290AC"/>
    <w:lvl w:ilvl="0" w:tplc="CF8CDF5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99F1CDD"/>
    <w:multiLevelType w:val="multilevel"/>
    <w:tmpl w:val="499F1CDD"/>
    <w:lvl w:ilvl="0">
      <w:start w:val="1"/>
      <w:numFmt w:val="bullet"/>
      <w:lvlText w:val="-"/>
      <w:lvlJc w:val="left"/>
      <w:pPr>
        <w:ind w:left="360" w:hanging="360"/>
      </w:pPr>
      <w:rPr>
        <w:rFonts w:ascii="Times New Roman" w:hAnsi="Times New Roman" w:cs="Times New Roman"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306DAA"/>
    <w:multiLevelType w:val="hybridMultilevel"/>
    <w:tmpl w:val="BF9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0738849">
    <w:abstractNumId w:val="13"/>
  </w:num>
  <w:num w:numId="2" w16cid:durableId="1610746112">
    <w:abstractNumId w:val="1"/>
  </w:num>
  <w:num w:numId="3" w16cid:durableId="1663508495">
    <w:abstractNumId w:val="17"/>
  </w:num>
  <w:num w:numId="4" w16cid:durableId="262154152">
    <w:abstractNumId w:val="16"/>
  </w:num>
  <w:num w:numId="5" w16cid:durableId="524943508">
    <w:abstractNumId w:val="9"/>
  </w:num>
  <w:num w:numId="6" w16cid:durableId="581380852">
    <w:abstractNumId w:val="12"/>
  </w:num>
  <w:num w:numId="7" w16cid:durableId="2139907879">
    <w:abstractNumId w:val="4"/>
  </w:num>
  <w:num w:numId="8" w16cid:durableId="80807822">
    <w:abstractNumId w:val="8"/>
  </w:num>
  <w:num w:numId="9" w16cid:durableId="951597476">
    <w:abstractNumId w:val="3"/>
  </w:num>
  <w:num w:numId="10" w16cid:durableId="947200721">
    <w:abstractNumId w:val="15"/>
  </w:num>
  <w:num w:numId="11" w16cid:durableId="737901803">
    <w:abstractNumId w:val="5"/>
  </w:num>
  <w:num w:numId="12" w16cid:durableId="1149595716">
    <w:abstractNumId w:val="17"/>
  </w:num>
  <w:num w:numId="13" w16cid:durableId="1587305215">
    <w:abstractNumId w:val="11"/>
  </w:num>
  <w:num w:numId="14" w16cid:durableId="1055203332">
    <w:abstractNumId w:val="7"/>
  </w:num>
  <w:num w:numId="15" w16cid:durableId="761610546">
    <w:abstractNumId w:val="10"/>
  </w:num>
  <w:num w:numId="16" w16cid:durableId="627975253">
    <w:abstractNumId w:val="6"/>
  </w:num>
  <w:num w:numId="17" w16cid:durableId="659041762">
    <w:abstractNumId w:val="14"/>
  </w:num>
  <w:num w:numId="18" w16cid:durableId="1943608494">
    <w:abstractNumId w:val="17"/>
  </w:num>
  <w:num w:numId="19" w16cid:durableId="420879680">
    <w:abstractNumId w:val="2"/>
  </w:num>
  <w:num w:numId="20" w16cid:durableId="28169454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32"/>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079B"/>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A8C"/>
    <w:rsid w:val="00070B1A"/>
    <w:rsid w:val="00070FD0"/>
    <w:rsid w:val="000711AD"/>
    <w:rsid w:val="00071768"/>
    <w:rsid w:val="00072154"/>
    <w:rsid w:val="0007217A"/>
    <w:rsid w:val="0007256E"/>
    <w:rsid w:val="000728A7"/>
    <w:rsid w:val="00072969"/>
    <w:rsid w:val="00072FCF"/>
    <w:rsid w:val="0007350E"/>
    <w:rsid w:val="00073DF1"/>
    <w:rsid w:val="00073F75"/>
    <w:rsid w:val="00074D8C"/>
    <w:rsid w:val="00074EF7"/>
    <w:rsid w:val="00074F36"/>
    <w:rsid w:val="00075131"/>
    <w:rsid w:val="000759F5"/>
    <w:rsid w:val="000761F5"/>
    <w:rsid w:val="00076445"/>
    <w:rsid w:val="00076762"/>
    <w:rsid w:val="00076FDE"/>
    <w:rsid w:val="00076FE4"/>
    <w:rsid w:val="00077012"/>
    <w:rsid w:val="00077805"/>
    <w:rsid w:val="000778DF"/>
    <w:rsid w:val="00080097"/>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0F7"/>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10A"/>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7C9"/>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0EA"/>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1470"/>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C89"/>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2C"/>
    <w:rsid w:val="0014495A"/>
    <w:rsid w:val="001450D8"/>
    <w:rsid w:val="0014530B"/>
    <w:rsid w:val="00145585"/>
    <w:rsid w:val="00145CE4"/>
    <w:rsid w:val="00146028"/>
    <w:rsid w:val="0014606C"/>
    <w:rsid w:val="00146323"/>
    <w:rsid w:val="00146A1D"/>
    <w:rsid w:val="00147919"/>
    <w:rsid w:val="00150D23"/>
    <w:rsid w:val="0015147B"/>
    <w:rsid w:val="00151B43"/>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280"/>
    <w:rsid w:val="001717D8"/>
    <w:rsid w:val="001718C8"/>
    <w:rsid w:val="00171974"/>
    <w:rsid w:val="00172253"/>
    <w:rsid w:val="00172287"/>
    <w:rsid w:val="001723C2"/>
    <w:rsid w:val="00172626"/>
    <w:rsid w:val="00172D8A"/>
    <w:rsid w:val="00173137"/>
    <w:rsid w:val="00173166"/>
    <w:rsid w:val="0017384D"/>
    <w:rsid w:val="00174331"/>
    <w:rsid w:val="00174645"/>
    <w:rsid w:val="0017536E"/>
    <w:rsid w:val="00175524"/>
    <w:rsid w:val="0017585A"/>
    <w:rsid w:val="001764D8"/>
    <w:rsid w:val="00176946"/>
    <w:rsid w:val="0017696B"/>
    <w:rsid w:val="00176A6E"/>
    <w:rsid w:val="00176BB2"/>
    <w:rsid w:val="00176D2E"/>
    <w:rsid w:val="00176D5E"/>
    <w:rsid w:val="00176DB9"/>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B4C"/>
    <w:rsid w:val="00190C65"/>
    <w:rsid w:val="001916CE"/>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70D"/>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60E"/>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88F"/>
    <w:rsid w:val="001C3C68"/>
    <w:rsid w:val="001C4289"/>
    <w:rsid w:val="001C44D8"/>
    <w:rsid w:val="001C4C1D"/>
    <w:rsid w:val="001C51CC"/>
    <w:rsid w:val="001C54E0"/>
    <w:rsid w:val="001C55A9"/>
    <w:rsid w:val="001C6194"/>
    <w:rsid w:val="001C692D"/>
    <w:rsid w:val="001C69BA"/>
    <w:rsid w:val="001C6C5D"/>
    <w:rsid w:val="001C7ACE"/>
    <w:rsid w:val="001D02D8"/>
    <w:rsid w:val="001D03D0"/>
    <w:rsid w:val="001D05AE"/>
    <w:rsid w:val="001D0994"/>
    <w:rsid w:val="001D09AD"/>
    <w:rsid w:val="001D0D6D"/>
    <w:rsid w:val="001D0F04"/>
    <w:rsid w:val="001D1083"/>
    <w:rsid w:val="001D10EA"/>
    <w:rsid w:val="001D10F4"/>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1330"/>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6A3"/>
    <w:rsid w:val="001F4C99"/>
    <w:rsid w:val="001F5109"/>
    <w:rsid w:val="001F5B8A"/>
    <w:rsid w:val="001F5C9E"/>
    <w:rsid w:val="001F5D49"/>
    <w:rsid w:val="001F632B"/>
    <w:rsid w:val="001F709E"/>
    <w:rsid w:val="001F7279"/>
    <w:rsid w:val="001F7ABA"/>
    <w:rsid w:val="002000F6"/>
    <w:rsid w:val="002005D5"/>
    <w:rsid w:val="002007BF"/>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27B8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1A3"/>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4FA6"/>
    <w:rsid w:val="00245998"/>
    <w:rsid w:val="00245DD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09B2"/>
    <w:rsid w:val="00262031"/>
    <w:rsid w:val="00262B75"/>
    <w:rsid w:val="00262BA8"/>
    <w:rsid w:val="0026309C"/>
    <w:rsid w:val="00263687"/>
    <w:rsid w:val="0026418A"/>
    <w:rsid w:val="00264194"/>
    <w:rsid w:val="002641F9"/>
    <w:rsid w:val="002642E8"/>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3F33"/>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4FEE"/>
    <w:rsid w:val="002953A7"/>
    <w:rsid w:val="00295B93"/>
    <w:rsid w:val="00295BE6"/>
    <w:rsid w:val="00295C79"/>
    <w:rsid w:val="00295F51"/>
    <w:rsid w:val="00296097"/>
    <w:rsid w:val="002964A2"/>
    <w:rsid w:val="00296664"/>
    <w:rsid w:val="00296B9B"/>
    <w:rsid w:val="00296DB6"/>
    <w:rsid w:val="00296E6E"/>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8AE"/>
    <w:rsid w:val="002B0DD0"/>
    <w:rsid w:val="002B1099"/>
    <w:rsid w:val="002B12A9"/>
    <w:rsid w:val="002B23EA"/>
    <w:rsid w:val="002B273A"/>
    <w:rsid w:val="002B44D0"/>
    <w:rsid w:val="002B5823"/>
    <w:rsid w:val="002B5843"/>
    <w:rsid w:val="002B59BC"/>
    <w:rsid w:val="002B5DA2"/>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3EB6"/>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927"/>
    <w:rsid w:val="002E0C28"/>
    <w:rsid w:val="002E0EBD"/>
    <w:rsid w:val="002E1049"/>
    <w:rsid w:val="002E1783"/>
    <w:rsid w:val="002E196E"/>
    <w:rsid w:val="002E1B10"/>
    <w:rsid w:val="002E1D11"/>
    <w:rsid w:val="002E262B"/>
    <w:rsid w:val="002E2C93"/>
    <w:rsid w:val="002E2F1B"/>
    <w:rsid w:val="002E3C05"/>
    <w:rsid w:val="002E4027"/>
    <w:rsid w:val="002E421B"/>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9C6"/>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85E"/>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1FB9"/>
    <w:rsid w:val="003221B4"/>
    <w:rsid w:val="003221D3"/>
    <w:rsid w:val="0032220F"/>
    <w:rsid w:val="00322785"/>
    <w:rsid w:val="00322903"/>
    <w:rsid w:val="00322BDE"/>
    <w:rsid w:val="00322F17"/>
    <w:rsid w:val="0032326C"/>
    <w:rsid w:val="00323EE9"/>
    <w:rsid w:val="00324183"/>
    <w:rsid w:val="00324BA0"/>
    <w:rsid w:val="00325596"/>
    <w:rsid w:val="00325E2B"/>
    <w:rsid w:val="00326265"/>
    <w:rsid w:val="003269BF"/>
    <w:rsid w:val="00326BFB"/>
    <w:rsid w:val="003278FC"/>
    <w:rsid w:val="00327C12"/>
    <w:rsid w:val="00330432"/>
    <w:rsid w:val="0033069D"/>
    <w:rsid w:val="003306D3"/>
    <w:rsid w:val="003306E0"/>
    <w:rsid w:val="003306F3"/>
    <w:rsid w:val="00330D9C"/>
    <w:rsid w:val="003316C9"/>
    <w:rsid w:val="00331C74"/>
    <w:rsid w:val="00331E86"/>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9C3"/>
    <w:rsid w:val="00345D24"/>
    <w:rsid w:val="00346248"/>
    <w:rsid w:val="00346892"/>
    <w:rsid w:val="003469B9"/>
    <w:rsid w:val="00346B75"/>
    <w:rsid w:val="00346C2E"/>
    <w:rsid w:val="00346C39"/>
    <w:rsid w:val="00346CE3"/>
    <w:rsid w:val="00346DDF"/>
    <w:rsid w:val="00347687"/>
    <w:rsid w:val="00350C4F"/>
    <w:rsid w:val="00350EF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45B"/>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04CB"/>
    <w:rsid w:val="003A191B"/>
    <w:rsid w:val="003A2995"/>
    <w:rsid w:val="003A38C7"/>
    <w:rsid w:val="003A530A"/>
    <w:rsid w:val="003A5A0D"/>
    <w:rsid w:val="003A5F12"/>
    <w:rsid w:val="003A6076"/>
    <w:rsid w:val="003A6BF1"/>
    <w:rsid w:val="003A7286"/>
    <w:rsid w:val="003A7587"/>
    <w:rsid w:val="003A792F"/>
    <w:rsid w:val="003A7B43"/>
    <w:rsid w:val="003A7E9A"/>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43"/>
    <w:rsid w:val="003C6648"/>
    <w:rsid w:val="003C68A7"/>
    <w:rsid w:val="003C6984"/>
    <w:rsid w:val="003C7AF5"/>
    <w:rsid w:val="003D07A9"/>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33F3"/>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35B1"/>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7F8"/>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203"/>
    <w:rsid w:val="00444D80"/>
    <w:rsid w:val="00444DDD"/>
    <w:rsid w:val="00444E6F"/>
    <w:rsid w:val="00444F34"/>
    <w:rsid w:val="00445D38"/>
    <w:rsid w:val="004463CC"/>
    <w:rsid w:val="004476B1"/>
    <w:rsid w:val="00450862"/>
    <w:rsid w:val="00450A2D"/>
    <w:rsid w:val="00450ACC"/>
    <w:rsid w:val="00450B57"/>
    <w:rsid w:val="00450B5A"/>
    <w:rsid w:val="00450E6A"/>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1B0"/>
    <w:rsid w:val="0046782F"/>
    <w:rsid w:val="00467BD1"/>
    <w:rsid w:val="00470584"/>
    <w:rsid w:val="00470640"/>
    <w:rsid w:val="004706C9"/>
    <w:rsid w:val="00470961"/>
    <w:rsid w:val="00470A72"/>
    <w:rsid w:val="00470EC8"/>
    <w:rsid w:val="0047171B"/>
    <w:rsid w:val="00471B39"/>
    <w:rsid w:val="00472128"/>
    <w:rsid w:val="00473165"/>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4A1"/>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C7DF8"/>
    <w:rsid w:val="004D121D"/>
    <w:rsid w:val="004D12F6"/>
    <w:rsid w:val="004D2392"/>
    <w:rsid w:val="004D267D"/>
    <w:rsid w:val="004D3233"/>
    <w:rsid w:val="004D4402"/>
    <w:rsid w:val="004D4BD7"/>
    <w:rsid w:val="004D61A0"/>
    <w:rsid w:val="004D62F8"/>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3A52"/>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881"/>
    <w:rsid w:val="00512A93"/>
    <w:rsid w:val="00512BA8"/>
    <w:rsid w:val="005130EE"/>
    <w:rsid w:val="0051328B"/>
    <w:rsid w:val="00513357"/>
    <w:rsid w:val="00513A09"/>
    <w:rsid w:val="00513E01"/>
    <w:rsid w:val="00513F81"/>
    <w:rsid w:val="00514F7C"/>
    <w:rsid w:val="00516037"/>
    <w:rsid w:val="00516ABF"/>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1E62"/>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A5"/>
    <w:rsid w:val="005437D1"/>
    <w:rsid w:val="0054389A"/>
    <w:rsid w:val="00543A5F"/>
    <w:rsid w:val="00543AEB"/>
    <w:rsid w:val="00543B77"/>
    <w:rsid w:val="00544945"/>
    <w:rsid w:val="00545132"/>
    <w:rsid w:val="005453A0"/>
    <w:rsid w:val="00546EC0"/>
    <w:rsid w:val="00547B7F"/>
    <w:rsid w:val="00547D36"/>
    <w:rsid w:val="005504D9"/>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206"/>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9D6"/>
    <w:rsid w:val="00577F2A"/>
    <w:rsid w:val="00580B1D"/>
    <w:rsid w:val="00580BF9"/>
    <w:rsid w:val="00581C61"/>
    <w:rsid w:val="00581E5A"/>
    <w:rsid w:val="00582CF2"/>
    <w:rsid w:val="0058334F"/>
    <w:rsid w:val="00583533"/>
    <w:rsid w:val="0058375B"/>
    <w:rsid w:val="0058395F"/>
    <w:rsid w:val="00583C26"/>
    <w:rsid w:val="00583CAD"/>
    <w:rsid w:val="00583F0A"/>
    <w:rsid w:val="00584F0B"/>
    <w:rsid w:val="005852D6"/>
    <w:rsid w:val="00585870"/>
    <w:rsid w:val="00585878"/>
    <w:rsid w:val="00585966"/>
    <w:rsid w:val="00585EDD"/>
    <w:rsid w:val="005862A8"/>
    <w:rsid w:val="00586449"/>
    <w:rsid w:val="00586A77"/>
    <w:rsid w:val="00586F50"/>
    <w:rsid w:val="005870F1"/>
    <w:rsid w:val="005879A2"/>
    <w:rsid w:val="00587CC8"/>
    <w:rsid w:val="00587FB4"/>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7F1"/>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6B90"/>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0D"/>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B25"/>
    <w:rsid w:val="005F5842"/>
    <w:rsid w:val="005F5C9C"/>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2C6E"/>
    <w:rsid w:val="00602F8E"/>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0CD3"/>
    <w:rsid w:val="006210C2"/>
    <w:rsid w:val="00621EA2"/>
    <w:rsid w:val="00623853"/>
    <w:rsid w:val="006240FF"/>
    <w:rsid w:val="0062449D"/>
    <w:rsid w:val="00625050"/>
    <w:rsid w:val="00625557"/>
    <w:rsid w:val="00625691"/>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62B"/>
    <w:rsid w:val="00636BE6"/>
    <w:rsid w:val="006377E5"/>
    <w:rsid w:val="00637901"/>
    <w:rsid w:val="00637D42"/>
    <w:rsid w:val="00637F1A"/>
    <w:rsid w:val="00640114"/>
    <w:rsid w:val="006405CB"/>
    <w:rsid w:val="00640A3E"/>
    <w:rsid w:val="006413DB"/>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D71"/>
    <w:rsid w:val="006603E5"/>
    <w:rsid w:val="00660825"/>
    <w:rsid w:val="00660DD3"/>
    <w:rsid w:val="00661358"/>
    <w:rsid w:val="00661841"/>
    <w:rsid w:val="00661847"/>
    <w:rsid w:val="006618B8"/>
    <w:rsid w:val="00661E0C"/>
    <w:rsid w:val="006620C7"/>
    <w:rsid w:val="00662CF6"/>
    <w:rsid w:val="00662DC5"/>
    <w:rsid w:val="00662F60"/>
    <w:rsid w:val="00664DEE"/>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10C"/>
    <w:rsid w:val="00671B63"/>
    <w:rsid w:val="00671BD2"/>
    <w:rsid w:val="00672088"/>
    <w:rsid w:val="00672595"/>
    <w:rsid w:val="0067274A"/>
    <w:rsid w:val="006730FF"/>
    <w:rsid w:val="00673323"/>
    <w:rsid w:val="00673539"/>
    <w:rsid w:val="00674266"/>
    <w:rsid w:val="00674EC9"/>
    <w:rsid w:val="006753C3"/>
    <w:rsid w:val="00675B34"/>
    <w:rsid w:val="00676155"/>
    <w:rsid w:val="0067640E"/>
    <w:rsid w:val="00676BC9"/>
    <w:rsid w:val="00676ED5"/>
    <w:rsid w:val="00677780"/>
    <w:rsid w:val="00677939"/>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9CA"/>
    <w:rsid w:val="006A6D49"/>
    <w:rsid w:val="006A6D78"/>
    <w:rsid w:val="006A733B"/>
    <w:rsid w:val="006B0AD2"/>
    <w:rsid w:val="006B0E90"/>
    <w:rsid w:val="006B1016"/>
    <w:rsid w:val="006B14A3"/>
    <w:rsid w:val="006B185F"/>
    <w:rsid w:val="006B1993"/>
    <w:rsid w:val="006B1A97"/>
    <w:rsid w:val="006B2489"/>
    <w:rsid w:val="006B2AA4"/>
    <w:rsid w:val="006B2BBE"/>
    <w:rsid w:val="006B320D"/>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0B6"/>
    <w:rsid w:val="006C0CDB"/>
    <w:rsid w:val="006C182F"/>
    <w:rsid w:val="006C19E8"/>
    <w:rsid w:val="006C1E32"/>
    <w:rsid w:val="006C1E9D"/>
    <w:rsid w:val="006C21C7"/>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7AC"/>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0BE9"/>
    <w:rsid w:val="00701968"/>
    <w:rsid w:val="00701F70"/>
    <w:rsid w:val="00704979"/>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7F0"/>
    <w:rsid w:val="0071283A"/>
    <w:rsid w:val="00712EA7"/>
    <w:rsid w:val="007135F4"/>
    <w:rsid w:val="00713FEB"/>
    <w:rsid w:val="007141DD"/>
    <w:rsid w:val="007158EB"/>
    <w:rsid w:val="00715A6D"/>
    <w:rsid w:val="00715B49"/>
    <w:rsid w:val="00715FE6"/>
    <w:rsid w:val="00716106"/>
    <w:rsid w:val="00716F9A"/>
    <w:rsid w:val="007170E7"/>
    <w:rsid w:val="0071716B"/>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6D20"/>
    <w:rsid w:val="00727717"/>
    <w:rsid w:val="00727AC7"/>
    <w:rsid w:val="00730402"/>
    <w:rsid w:val="00730A99"/>
    <w:rsid w:val="00730E2B"/>
    <w:rsid w:val="007314BF"/>
    <w:rsid w:val="0073178F"/>
    <w:rsid w:val="00731EA0"/>
    <w:rsid w:val="00732767"/>
    <w:rsid w:val="007328FC"/>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4D26"/>
    <w:rsid w:val="0074514C"/>
    <w:rsid w:val="0074538A"/>
    <w:rsid w:val="00745E13"/>
    <w:rsid w:val="00746594"/>
    <w:rsid w:val="007466ED"/>
    <w:rsid w:val="00747750"/>
    <w:rsid w:val="00747E1A"/>
    <w:rsid w:val="00747ECC"/>
    <w:rsid w:val="00747FB4"/>
    <w:rsid w:val="007506AD"/>
    <w:rsid w:val="00750AED"/>
    <w:rsid w:val="00752745"/>
    <w:rsid w:val="007535D6"/>
    <w:rsid w:val="00753604"/>
    <w:rsid w:val="007543DA"/>
    <w:rsid w:val="007546A8"/>
    <w:rsid w:val="0075497E"/>
    <w:rsid w:val="00754A2C"/>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AA9"/>
    <w:rsid w:val="007B4C76"/>
    <w:rsid w:val="007B542E"/>
    <w:rsid w:val="007B5C1F"/>
    <w:rsid w:val="007B60A7"/>
    <w:rsid w:val="007B6D21"/>
    <w:rsid w:val="007B7A20"/>
    <w:rsid w:val="007C00AD"/>
    <w:rsid w:val="007C0229"/>
    <w:rsid w:val="007C0508"/>
    <w:rsid w:val="007C0E18"/>
    <w:rsid w:val="007C1E9C"/>
    <w:rsid w:val="007C1F20"/>
    <w:rsid w:val="007C2690"/>
    <w:rsid w:val="007C26B7"/>
    <w:rsid w:val="007C32E1"/>
    <w:rsid w:val="007C3BD8"/>
    <w:rsid w:val="007C454A"/>
    <w:rsid w:val="007C46DD"/>
    <w:rsid w:val="007C4ABE"/>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100"/>
    <w:rsid w:val="007E34FE"/>
    <w:rsid w:val="007E390D"/>
    <w:rsid w:val="007E4307"/>
    <w:rsid w:val="007E4A20"/>
    <w:rsid w:val="007E4EF9"/>
    <w:rsid w:val="007E5DE3"/>
    <w:rsid w:val="007E61DD"/>
    <w:rsid w:val="007E6EFA"/>
    <w:rsid w:val="007E7064"/>
    <w:rsid w:val="007E7250"/>
    <w:rsid w:val="007E74D4"/>
    <w:rsid w:val="007F04DA"/>
    <w:rsid w:val="007F109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0ADE"/>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0E58"/>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8B"/>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0731"/>
    <w:rsid w:val="0083175B"/>
    <w:rsid w:val="0083183C"/>
    <w:rsid w:val="00832372"/>
    <w:rsid w:val="00833014"/>
    <w:rsid w:val="0083344F"/>
    <w:rsid w:val="008343A2"/>
    <w:rsid w:val="00834AF3"/>
    <w:rsid w:val="00834F3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47FBC"/>
    <w:rsid w:val="008503C6"/>
    <w:rsid w:val="00850D58"/>
    <w:rsid w:val="008510F6"/>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32"/>
    <w:rsid w:val="00895D81"/>
    <w:rsid w:val="00896346"/>
    <w:rsid w:val="0089637C"/>
    <w:rsid w:val="008965CC"/>
    <w:rsid w:val="00896DD9"/>
    <w:rsid w:val="00897A5B"/>
    <w:rsid w:val="00897B37"/>
    <w:rsid w:val="008A0673"/>
    <w:rsid w:val="008A0BDB"/>
    <w:rsid w:val="008A0CCE"/>
    <w:rsid w:val="008A0EEA"/>
    <w:rsid w:val="008A126F"/>
    <w:rsid w:val="008A1B6E"/>
    <w:rsid w:val="008A2046"/>
    <w:rsid w:val="008A250D"/>
    <w:rsid w:val="008A2613"/>
    <w:rsid w:val="008A2A41"/>
    <w:rsid w:val="008A2FF6"/>
    <w:rsid w:val="008A34F4"/>
    <w:rsid w:val="008A3D93"/>
    <w:rsid w:val="008A417B"/>
    <w:rsid w:val="008A4245"/>
    <w:rsid w:val="008A426F"/>
    <w:rsid w:val="008A4E6D"/>
    <w:rsid w:val="008A5E99"/>
    <w:rsid w:val="008A62C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589"/>
    <w:rsid w:val="008C2B8E"/>
    <w:rsid w:val="008C3859"/>
    <w:rsid w:val="008C3FF4"/>
    <w:rsid w:val="008C49EC"/>
    <w:rsid w:val="008C4D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4ED1"/>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181"/>
    <w:rsid w:val="008E7A92"/>
    <w:rsid w:val="008E7B6D"/>
    <w:rsid w:val="008F061F"/>
    <w:rsid w:val="008F0A98"/>
    <w:rsid w:val="008F108F"/>
    <w:rsid w:val="008F1BD3"/>
    <w:rsid w:val="008F2319"/>
    <w:rsid w:val="008F2473"/>
    <w:rsid w:val="008F3927"/>
    <w:rsid w:val="008F4EDB"/>
    <w:rsid w:val="008F5320"/>
    <w:rsid w:val="008F55B6"/>
    <w:rsid w:val="008F5FB4"/>
    <w:rsid w:val="008F5FF3"/>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789"/>
    <w:rsid w:val="00906A22"/>
    <w:rsid w:val="00906F36"/>
    <w:rsid w:val="009074E2"/>
    <w:rsid w:val="00907AA7"/>
    <w:rsid w:val="00907C68"/>
    <w:rsid w:val="00910630"/>
    <w:rsid w:val="0091063A"/>
    <w:rsid w:val="00910A58"/>
    <w:rsid w:val="00910FD9"/>
    <w:rsid w:val="009110BA"/>
    <w:rsid w:val="009113DB"/>
    <w:rsid w:val="00911893"/>
    <w:rsid w:val="009119CF"/>
    <w:rsid w:val="00911C37"/>
    <w:rsid w:val="009125CC"/>
    <w:rsid w:val="00912B0F"/>
    <w:rsid w:val="00912D51"/>
    <w:rsid w:val="009138D2"/>
    <w:rsid w:val="0091459F"/>
    <w:rsid w:val="00915659"/>
    <w:rsid w:val="00915B07"/>
    <w:rsid w:val="00915D84"/>
    <w:rsid w:val="00915D95"/>
    <w:rsid w:val="009160AF"/>
    <w:rsid w:val="009169ED"/>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535"/>
    <w:rsid w:val="009237DE"/>
    <w:rsid w:val="00923F6B"/>
    <w:rsid w:val="00924940"/>
    <w:rsid w:val="00924EF8"/>
    <w:rsid w:val="00924F30"/>
    <w:rsid w:val="009253F2"/>
    <w:rsid w:val="009255AB"/>
    <w:rsid w:val="009256A5"/>
    <w:rsid w:val="00925E74"/>
    <w:rsid w:val="00926834"/>
    <w:rsid w:val="0092785B"/>
    <w:rsid w:val="00927AA1"/>
    <w:rsid w:val="00927AF8"/>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0CF"/>
    <w:rsid w:val="00944667"/>
    <w:rsid w:val="0094476C"/>
    <w:rsid w:val="00944FC4"/>
    <w:rsid w:val="00945290"/>
    <w:rsid w:val="00945389"/>
    <w:rsid w:val="009456A6"/>
    <w:rsid w:val="00945A2F"/>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07A"/>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06B"/>
    <w:rsid w:val="0097326F"/>
    <w:rsid w:val="00973613"/>
    <w:rsid w:val="00973AFC"/>
    <w:rsid w:val="0097465D"/>
    <w:rsid w:val="0097492D"/>
    <w:rsid w:val="00974B01"/>
    <w:rsid w:val="009753C5"/>
    <w:rsid w:val="009758E7"/>
    <w:rsid w:val="00975B0F"/>
    <w:rsid w:val="00975E75"/>
    <w:rsid w:val="009766F7"/>
    <w:rsid w:val="009768AB"/>
    <w:rsid w:val="00977607"/>
    <w:rsid w:val="009777C6"/>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6"/>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070C"/>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85E"/>
    <w:rsid w:val="00A00D20"/>
    <w:rsid w:val="00A00E73"/>
    <w:rsid w:val="00A0184D"/>
    <w:rsid w:val="00A0217C"/>
    <w:rsid w:val="00A0274D"/>
    <w:rsid w:val="00A027C8"/>
    <w:rsid w:val="00A030D1"/>
    <w:rsid w:val="00A032B7"/>
    <w:rsid w:val="00A03648"/>
    <w:rsid w:val="00A040DA"/>
    <w:rsid w:val="00A042E5"/>
    <w:rsid w:val="00A044B9"/>
    <w:rsid w:val="00A04512"/>
    <w:rsid w:val="00A048AB"/>
    <w:rsid w:val="00A04D75"/>
    <w:rsid w:val="00A0681F"/>
    <w:rsid w:val="00A07464"/>
    <w:rsid w:val="00A100A4"/>
    <w:rsid w:val="00A105C8"/>
    <w:rsid w:val="00A10B99"/>
    <w:rsid w:val="00A10E34"/>
    <w:rsid w:val="00A11BBA"/>
    <w:rsid w:val="00A125C0"/>
    <w:rsid w:val="00A1369D"/>
    <w:rsid w:val="00A137DF"/>
    <w:rsid w:val="00A13CE2"/>
    <w:rsid w:val="00A1422C"/>
    <w:rsid w:val="00A14BA4"/>
    <w:rsid w:val="00A14DF7"/>
    <w:rsid w:val="00A150DC"/>
    <w:rsid w:val="00A15B81"/>
    <w:rsid w:val="00A15EC1"/>
    <w:rsid w:val="00A15FA2"/>
    <w:rsid w:val="00A16058"/>
    <w:rsid w:val="00A161B7"/>
    <w:rsid w:val="00A162AC"/>
    <w:rsid w:val="00A176B0"/>
    <w:rsid w:val="00A17B78"/>
    <w:rsid w:val="00A20018"/>
    <w:rsid w:val="00A20043"/>
    <w:rsid w:val="00A21499"/>
    <w:rsid w:val="00A227C0"/>
    <w:rsid w:val="00A239BD"/>
    <w:rsid w:val="00A23F48"/>
    <w:rsid w:val="00A24C0B"/>
    <w:rsid w:val="00A2521C"/>
    <w:rsid w:val="00A25808"/>
    <w:rsid w:val="00A25CF9"/>
    <w:rsid w:val="00A2643B"/>
    <w:rsid w:val="00A26B00"/>
    <w:rsid w:val="00A271D5"/>
    <w:rsid w:val="00A274D9"/>
    <w:rsid w:val="00A27634"/>
    <w:rsid w:val="00A276E8"/>
    <w:rsid w:val="00A279AA"/>
    <w:rsid w:val="00A27A40"/>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23C"/>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3A0"/>
    <w:rsid w:val="00A75A36"/>
    <w:rsid w:val="00A76147"/>
    <w:rsid w:val="00A76959"/>
    <w:rsid w:val="00A775DF"/>
    <w:rsid w:val="00A77B6C"/>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D5F"/>
    <w:rsid w:val="00A86FA3"/>
    <w:rsid w:val="00A87820"/>
    <w:rsid w:val="00A9030C"/>
    <w:rsid w:val="00A90536"/>
    <w:rsid w:val="00A90DA8"/>
    <w:rsid w:val="00A90F81"/>
    <w:rsid w:val="00A90FF8"/>
    <w:rsid w:val="00A91123"/>
    <w:rsid w:val="00A912A2"/>
    <w:rsid w:val="00A914A8"/>
    <w:rsid w:val="00A91AE3"/>
    <w:rsid w:val="00A91C62"/>
    <w:rsid w:val="00A91E97"/>
    <w:rsid w:val="00A921E2"/>
    <w:rsid w:val="00A9258C"/>
    <w:rsid w:val="00A9261E"/>
    <w:rsid w:val="00A92C65"/>
    <w:rsid w:val="00A92D3C"/>
    <w:rsid w:val="00A92DA1"/>
    <w:rsid w:val="00A93AD6"/>
    <w:rsid w:val="00A94040"/>
    <w:rsid w:val="00A94412"/>
    <w:rsid w:val="00A9447D"/>
    <w:rsid w:val="00A94BF2"/>
    <w:rsid w:val="00A94CB5"/>
    <w:rsid w:val="00A94CD7"/>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4E78"/>
    <w:rsid w:val="00AA524B"/>
    <w:rsid w:val="00AA59EA"/>
    <w:rsid w:val="00AA5F6C"/>
    <w:rsid w:val="00AA646D"/>
    <w:rsid w:val="00AA6D41"/>
    <w:rsid w:val="00AA7012"/>
    <w:rsid w:val="00AA74BD"/>
    <w:rsid w:val="00AA74FE"/>
    <w:rsid w:val="00AA794A"/>
    <w:rsid w:val="00AA7A9A"/>
    <w:rsid w:val="00AA7E2F"/>
    <w:rsid w:val="00AA7F83"/>
    <w:rsid w:val="00AB068E"/>
    <w:rsid w:val="00AB0C12"/>
    <w:rsid w:val="00AB0D4C"/>
    <w:rsid w:val="00AB0E9C"/>
    <w:rsid w:val="00AB13E3"/>
    <w:rsid w:val="00AB1DE5"/>
    <w:rsid w:val="00AB31F6"/>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77"/>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71E"/>
    <w:rsid w:val="00AD6C8E"/>
    <w:rsid w:val="00AD7069"/>
    <w:rsid w:val="00AD76D9"/>
    <w:rsid w:val="00AE02C8"/>
    <w:rsid w:val="00AE03BB"/>
    <w:rsid w:val="00AE0D9F"/>
    <w:rsid w:val="00AE13B8"/>
    <w:rsid w:val="00AE1785"/>
    <w:rsid w:val="00AE1AB7"/>
    <w:rsid w:val="00AE2EDA"/>
    <w:rsid w:val="00AE37EC"/>
    <w:rsid w:val="00AE3E4E"/>
    <w:rsid w:val="00AE50FF"/>
    <w:rsid w:val="00AE5447"/>
    <w:rsid w:val="00AE5C6F"/>
    <w:rsid w:val="00AE65F5"/>
    <w:rsid w:val="00AE68B1"/>
    <w:rsid w:val="00AE6B03"/>
    <w:rsid w:val="00AE6BEB"/>
    <w:rsid w:val="00AE6D05"/>
    <w:rsid w:val="00AE78AE"/>
    <w:rsid w:val="00AE7BC3"/>
    <w:rsid w:val="00AF043F"/>
    <w:rsid w:val="00AF073D"/>
    <w:rsid w:val="00AF08C0"/>
    <w:rsid w:val="00AF0F00"/>
    <w:rsid w:val="00AF11E0"/>
    <w:rsid w:val="00AF20EA"/>
    <w:rsid w:val="00AF2378"/>
    <w:rsid w:val="00AF25DD"/>
    <w:rsid w:val="00AF2CE5"/>
    <w:rsid w:val="00AF3724"/>
    <w:rsid w:val="00AF3DF0"/>
    <w:rsid w:val="00AF431C"/>
    <w:rsid w:val="00AF4C95"/>
    <w:rsid w:val="00AF5348"/>
    <w:rsid w:val="00AF56DE"/>
    <w:rsid w:val="00AF5801"/>
    <w:rsid w:val="00AF592D"/>
    <w:rsid w:val="00AF5AFB"/>
    <w:rsid w:val="00AF5E0C"/>
    <w:rsid w:val="00AF6A10"/>
    <w:rsid w:val="00AF6DB0"/>
    <w:rsid w:val="00AF7B35"/>
    <w:rsid w:val="00B00466"/>
    <w:rsid w:val="00B006DB"/>
    <w:rsid w:val="00B00BED"/>
    <w:rsid w:val="00B00F5B"/>
    <w:rsid w:val="00B01658"/>
    <w:rsid w:val="00B038EB"/>
    <w:rsid w:val="00B03B02"/>
    <w:rsid w:val="00B03EDB"/>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07FED"/>
    <w:rsid w:val="00B10A5B"/>
    <w:rsid w:val="00B1100B"/>
    <w:rsid w:val="00B116E8"/>
    <w:rsid w:val="00B120F7"/>
    <w:rsid w:val="00B122E9"/>
    <w:rsid w:val="00B12702"/>
    <w:rsid w:val="00B1302D"/>
    <w:rsid w:val="00B13F3A"/>
    <w:rsid w:val="00B14E30"/>
    <w:rsid w:val="00B14E33"/>
    <w:rsid w:val="00B16225"/>
    <w:rsid w:val="00B1689E"/>
    <w:rsid w:val="00B168AD"/>
    <w:rsid w:val="00B176D3"/>
    <w:rsid w:val="00B1771F"/>
    <w:rsid w:val="00B1790A"/>
    <w:rsid w:val="00B17A99"/>
    <w:rsid w:val="00B17E72"/>
    <w:rsid w:val="00B17F8A"/>
    <w:rsid w:val="00B201FF"/>
    <w:rsid w:val="00B202DE"/>
    <w:rsid w:val="00B207F9"/>
    <w:rsid w:val="00B21426"/>
    <w:rsid w:val="00B2145F"/>
    <w:rsid w:val="00B2187B"/>
    <w:rsid w:val="00B21C8A"/>
    <w:rsid w:val="00B2247A"/>
    <w:rsid w:val="00B22673"/>
    <w:rsid w:val="00B226E8"/>
    <w:rsid w:val="00B22ABB"/>
    <w:rsid w:val="00B236F2"/>
    <w:rsid w:val="00B23978"/>
    <w:rsid w:val="00B25302"/>
    <w:rsid w:val="00B25374"/>
    <w:rsid w:val="00B25EF8"/>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1F9"/>
    <w:rsid w:val="00B418CE"/>
    <w:rsid w:val="00B423AA"/>
    <w:rsid w:val="00B425B2"/>
    <w:rsid w:val="00B427D4"/>
    <w:rsid w:val="00B431F8"/>
    <w:rsid w:val="00B44A49"/>
    <w:rsid w:val="00B44C23"/>
    <w:rsid w:val="00B45074"/>
    <w:rsid w:val="00B4547D"/>
    <w:rsid w:val="00B45A7C"/>
    <w:rsid w:val="00B46FF9"/>
    <w:rsid w:val="00B47714"/>
    <w:rsid w:val="00B47FDA"/>
    <w:rsid w:val="00B5062A"/>
    <w:rsid w:val="00B50B1E"/>
    <w:rsid w:val="00B51E26"/>
    <w:rsid w:val="00B51F81"/>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567"/>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0F4"/>
    <w:rsid w:val="00BC018A"/>
    <w:rsid w:val="00BC0481"/>
    <w:rsid w:val="00BC0599"/>
    <w:rsid w:val="00BC0D20"/>
    <w:rsid w:val="00BC10A6"/>
    <w:rsid w:val="00BC15B3"/>
    <w:rsid w:val="00BC217F"/>
    <w:rsid w:val="00BC2339"/>
    <w:rsid w:val="00BC2421"/>
    <w:rsid w:val="00BC2467"/>
    <w:rsid w:val="00BC2B97"/>
    <w:rsid w:val="00BC37FB"/>
    <w:rsid w:val="00BC3862"/>
    <w:rsid w:val="00BC393C"/>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4B6"/>
    <w:rsid w:val="00BE1798"/>
    <w:rsid w:val="00BE22D0"/>
    <w:rsid w:val="00BE2622"/>
    <w:rsid w:val="00BE367C"/>
    <w:rsid w:val="00BE3BBA"/>
    <w:rsid w:val="00BE5105"/>
    <w:rsid w:val="00BE5512"/>
    <w:rsid w:val="00BE62B3"/>
    <w:rsid w:val="00BE7260"/>
    <w:rsid w:val="00BE73A4"/>
    <w:rsid w:val="00BE7FE3"/>
    <w:rsid w:val="00BF15F2"/>
    <w:rsid w:val="00BF1A45"/>
    <w:rsid w:val="00BF1BDA"/>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69B4"/>
    <w:rsid w:val="00C2791F"/>
    <w:rsid w:val="00C279B6"/>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6D74"/>
    <w:rsid w:val="00C476CC"/>
    <w:rsid w:val="00C47BCD"/>
    <w:rsid w:val="00C5015D"/>
    <w:rsid w:val="00C508D6"/>
    <w:rsid w:val="00C50956"/>
    <w:rsid w:val="00C51810"/>
    <w:rsid w:val="00C5200A"/>
    <w:rsid w:val="00C524D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6898"/>
    <w:rsid w:val="00C770AD"/>
    <w:rsid w:val="00C77404"/>
    <w:rsid w:val="00C8011D"/>
    <w:rsid w:val="00C80408"/>
    <w:rsid w:val="00C80D3A"/>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3FE"/>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3CF"/>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49D0"/>
    <w:rsid w:val="00CD5B91"/>
    <w:rsid w:val="00CD5FB5"/>
    <w:rsid w:val="00CD618C"/>
    <w:rsid w:val="00CD644F"/>
    <w:rsid w:val="00CD6B22"/>
    <w:rsid w:val="00CD6E38"/>
    <w:rsid w:val="00CD7786"/>
    <w:rsid w:val="00CE01AD"/>
    <w:rsid w:val="00CE080F"/>
    <w:rsid w:val="00CE0907"/>
    <w:rsid w:val="00CE0B53"/>
    <w:rsid w:val="00CE0C6A"/>
    <w:rsid w:val="00CE12B3"/>
    <w:rsid w:val="00CE220B"/>
    <w:rsid w:val="00CE243D"/>
    <w:rsid w:val="00CE2B2E"/>
    <w:rsid w:val="00CE2D17"/>
    <w:rsid w:val="00CE3390"/>
    <w:rsid w:val="00CE3703"/>
    <w:rsid w:val="00CE3932"/>
    <w:rsid w:val="00CE409A"/>
    <w:rsid w:val="00CE4498"/>
    <w:rsid w:val="00CE5B77"/>
    <w:rsid w:val="00CE5BEB"/>
    <w:rsid w:val="00CE61D4"/>
    <w:rsid w:val="00CE6355"/>
    <w:rsid w:val="00CE75BE"/>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328"/>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1D3"/>
    <w:rsid w:val="00D53514"/>
    <w:rsid w:val="00D543E3"/>
    <w:rsid w:val="00D54924"/>
    <w:rsid w:val="00D54DD6"/>
    <w:rsid w:val="00D55CF6"/>
    <w:rsid w:val="00D5603D"/>
    <w:rsid w:val="00D562B8"/>
    <w:rsid w:val="00D5642C"/>
    <w:rsid w:val="00D5753E"/>
    <w:rsid w:val="00D57938"/>
    <w:rsid w:val="00D57C09"/>
    <w:rsid w:val="00D6059A"/>
    <w:rsid w:val="00D61552"/>
    <w:rsid w:val="00D61825"/>
    <w:rsid w:val="00D61F36"/>
    <w:rsid w:val="00D61FC5"/>
    <w:rsid w:val="00D6270A"/>
    <w:rsid w:val="00D62F4F"/>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6E6B"/>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19A2"/>
    <w:rsid w:val="00D81AFA"/>
    <w:rsid w:val="00D82403"/>
    <w:rsid w:val="00D82476"/>
    <w:rsid w:val="00D824E2"/>
    <w:rsid w:val="00D8290B"/>
    <w:rsid w:val="00D82AAC"/>
    <w:rsid w:val="00D834A0"/>
    <w:rsid w:val="00D83970"/>
    <w:rsid w:val="00D83CC0"/>
    <w:rsid w:val="00D840A3"/>
    <w:rsid w:val="00D858CF"/>
    <w:rsid w:val="00D86F19"/>
    <w:rsid w:val="00D878DA"/>
    <w:rsid w:val="00D87CE8"/>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3EE1"/>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867"/>
    <w:rsid w:val="00DB0B9A"/>
    <w:rsid w:val="00DB0D38"/>
    <w:rsid w:val="00DB1715"/>
    <w:rsid w:val="00DB1DB7"/>
    <w:rsid w:val="00DB21C3"/>
    <w:rsid w:val="00DB2369"/>
    <w:rsid w:val="00DB239A"/>
    <w:rsid w:val="00DB2C7B"/>
    <w:rsid w:val="00DB3141"/>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AF1"/>
    <w:rsid w:val="00DC065F"/>
    <w:rsid w:val="00DC06B6"/>
    <w:rsid w:val="00DC077F"/>
    <w:rsid w:val="00DC1080"/>
    <w:rsid w:val="00DC21B3"/>
    <w:rsid w:val="00DC25EC"/>
    <w:rsid w:val="00DC27DE"/>
    <w:rsid w:val="00DC2D8B"/>
    <w:rsid w:val="00DC3267"/>
    <w:rsid w:val="00DC366C"/>
    <w:rsid w:val="00DC3A70"/>
    <w:rsid w:val="00DC4016"/>
    <w:rsid w:val="00DC41D3"/>
    <w:rsid w:val="00DC4438"/>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3F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3CD"/>
    <w:rsid w:val="00E23656"/>
    <w:rsid w:val="00E2387D"/>
    <w:rsid w:val="00E23C23"/>
    <w:rsid w:val="00E23CC5"/>
    <w:rsid w:val="00E24451"/>
    <w:rsid w:val="00E24598"/>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2E22"/>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2F8E"/>
    <w:rsid w:val="00E830AC"/>
    <w:rsid w:val="00E832DD"/>
    <w:rsid w:val="00E8358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9F8"/>
    <w:rsid w:val="00EB0BA0"/>
    <w:rsid w:val="00EB0F0D"/>
    <w:rsid w:val="00EB1583"/>
    <w:rsid w:val="00EB1D24"/>
    <w:rsid w:val="00EB28B2"/>
    <w:rsid w:val="00EB426E"/>
    <w:rsid w:val="00EB4A7A"/>
    <w:rsid w:val="00EB564D"/>
    <w:rsid w:val="00EB5B7C"/>
    <w:rsid w:val="00EB5BAB"/>
    <w:rsid w:val="00EB5C86"/>
    <w:rsid w:val="00EB5F04"/>
    <w:rsid w:val="00EB6C4C"/>
    <w:rsid w:val="00EB735D"/>
    <w:rsid w:val="00EC0254"/>
    <w:rsid w:val="00EC0419"/>
    <w:rsid w:val="00EC09DC"/>
    <w:rsid w:val="00EC1486"/>
    <w:rsid w:val="00EC1E06"/>
    <w:rsid w:val="00EC27AF"/>
    <w:rsid w:val="00EC28CB"/>
    <w:rsid w:val="00EC29B4"/>
    <w:rsid w:val="00EC3499"/>
    <w:rsid w:val="00EC3757"/>
    <w:rsid w:val="00EC3A52"/>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7AE"/>
    <w:rsid w:val="00ED7AD2"/>
    <w:rsid w:val="00EE0F07"/>
    <w:rsid w:val="00EE195D"/>
    <w:rsid w:val="00EE1A56"/>
    <w:rsid w:val="00EE23F3"/>
    <w:rsid w:val="00EE2D8C"/>
    <w:rsid w:val="00EE3915"/>
    <w:rsid w:val="00EE5192"/>
    <w:rsid w:val="00EE6BA4"/>
    <w:rsid w:val="00EE7782"/>
    <w:rsid w:val="00EE7799"/>
    <w:rsid w:val="00EE7825"/>
    <w:rsid w:val="00EF0381"/>
    <w:rsid w:val="00EF0684"/>
    <w:rsid w:val="00EF0C31"/>
    <w:rsid w:val="00EF1576"/>
    <w:rsid w:val="00EF15F0"/>
    <w:rsid w:val="00EF17BC"/>
    <w:rsid w:val="00EF214E"/>
    <w:rsid w:val="00EF24E2"/>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0B34"/>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3AC"/>
    <w:rsid w:val="00F40D48"/>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AE5"/>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5D7"/>
    <w:rsid w:val="00F667CF"/>
    <w:rsid w:val="00F66A9E"/>
    <w:rsid w:val="00F66FA8"/>
    <w:rsid w:val="00F677A9"/>
    <w:rsid w:val="00F67A4B"/>
    <w:rsid w:val="00F67BCC"/>
    <w:rsid w:val="00F70281"/>
    <w:rsid w:val="00F705BB"/>
    <w:rsid w:val="00F707AE"/>
    <w:rsid w:val="00F7087B"/>
    <w:rsid w:val="00F70A91"/>
    <w:rsid w:val="00F70FAC"/>
    <w:rsid w:val="00F71E16"/>
    <w:rsid w:val="00F72489"/>
    <w:rsid w:val="00F7303B"/>
    <w:rsid w:val="00F730CC"/>
    <w:rsid w:val="00F73960"/>
    <w:rsid w:val="00F73A3A"/>
    <w:rsid w:val="00F73A87"/>
    <w:rsid w:val="00F73BC3"/>
    <w:rsid w:val="00F73C47"/>
    <w:rsid w:val="00F73FFA"/>
    <w:rsid w:val="00F74182"/>
    <w:rsid w:val="00F741CC"/>
    <w:rsid w:val="00F745CF"/>
    <w:rsid w:val="00F7462A"/>
    <w:rsid w:val="00F753B1"/>
    <w:rsid w:val="00F75811"/>
    <w:rsid w:val="00F75BAA"/>
    <w:rsid w:val="00F76544"/>
    <w:rsid w:val="00F7654B"/>
    <w:rsid w:val="00F76E00"/>
    <w:rsid w:val="00F76F02"/>
    <w:rsid w:val="00F77139"/>
    <w:rsid w:val="00F77511"/>
    <w:rsid w:val="00F77D33"/>
    <w:rsid w:val="00F77DFD"/>
    <w:rsid w:val="00F81BD9"/>
    <w:rsid w:val="00F81EA7"/>
    <w:rsid w:val="00F822B3"/>
    <w:rsid w:val="00F82449"/>
    <w:rsid w:val="00F8265F"/>
    <w:rsid w:val="00F831F6"/>
    <w:rsid w:val="00F83564"/>
    <w:rsid w:val="00F8398B"/>
    <w:rsid w:val="00F83A24"/>
    <w:rsid w:val="00F83C23"/>
    <w:rsid w:val="00F84D35"/>
    <w:rsid w:val="00F84F78"/>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08"/>
    <w:rsid w:val="00FA464A"/>
    <w:rsid w:val="00FA47BA"/>
    <w:rsid w:val="00FA47F3"/>
    <w:rsid w:val="00FA4D94"/>
    <w:rsid w:val="00FA593D"/>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5D"/>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HTML">
    <w:name w:val="HTML Preformatted"/>
    <w:basedOn w:val="a"/>
    <w:link w:val="HTML0"/>
    <w:uiPriority w:val="99"/>
    <w:semiHidden/>
    <w:unhideWhenUsed/>
    <w:rsid w:val="00FA46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FA4608"/>
    <w:rPr>
      <w:rFonts w:ascii="宋体" w:hAnsi="宋体" w:cs="宋体"/>
      <w:sz w:val="24"/>
      <w:szCs w:val="24"/>
    </w:rPr>
  </w:style>
  <w:style w:type="paragraph" w:styleId="af8">
    <w:name w:val="Body Text"/>
    <w:basedOn w:val="a"/>
    <w:link w:val="af9"/>
    <w:rsid w:val="00945A2F"/>
    <w:pPr>
      <w:widowControl/>
      <w:overflowPunct w:val="0"/>
      <w:autoSpaceDE w:val="0"/>
      <w:autoSpaceDN w:val="0"/>
      <w:adjustRightInd w:val="0"/>
      <w:spacing w:after="120" w:line="259" w:lineRule="auto"/>
      <w:textAlignment w:val="baseline"/>
    </w:pPr>
    <w:rPr>
      <w:rFonts w:ascii="Arial" w:eastAsia="PMingLiU" w:hAnsi="Arial"/>
      <w:kern w:val="0"/>
      <w:sz w:val="20"/>
      <w:szCs w:val="20"/>
      <w:lang w:val="en-GB"/>
    </w:rPr>
  </w:style>
  <w:style w:type="character" w:customStyle="1" w:styleId="af9">
    <w:name w:val="正文文本 字符"/>
    <w:basedOn w:val="a0"/>
    <w:link w:val="af8"/>
    <w:rsid w:val="00945A2F"/>
    <w:rPr>
      <w:rFonts w:ascii="Arial" w:eastAsia="PMingLiU" w:hAnsi="Arial"/>
      <w:lang w:val="en-GB"/>
    </w:rPr>
  </w:style>
  <w:style w:type="paragraph" w:customStyle="1" w:styleId="Proposal">
    <w:name w:val="Proposal"/>
    <w:basedOn w:val="a"/>
    <w:qFormat/>
    <w:rsid w:val="0096307A"/>
    <w:pPr>
      <w:widowControl/>
      <w:numPr>
        <w:numId w:val="15"/>
      </w:numPr>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styleId="afa">
    <w:name w:val="page number"/>
    <w:basedOn w:val="a0"/>
    <w:rsid w:val="00BE14B6"/>
  </w:style>
  <w:style w:type="character" w:customStyle="1" w:styleId="TALCar">
    <w:name w:val="TAL Car"/>
    <w:qFormat/>
    <w:rsid w:val="00830731"/>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817939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845750684">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77395035">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5</Pages>
  <Words>1705</Words>
  <Characters>9720</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180</cp:revision>
  <cp:lastPrinted>2012-10-30T00:20:00Z</cp:lastPrinted>
  <dcterms:created xsi:type="dcterms:W3CDTF">2023-02-13T06:24:00Z</dcterms:created>
  <dcterms:modified xsi:type="dcterms:W3CDTF">2023-04-06T13:43:00Z</dcterms:modified>
</cp:coreProperties>
</file>